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993" w:rsidRPr="003706A7" w:rsidRDefault="00D32770" w:rsidP="003706A7">
      <w:pPr>
        <w:pStyle w:val="Ninaberschrift2"/>
        <w:rPr>
          <w:rFonts w:ascii="Arial" w:hAnsi="Arial" w:cs="Arial"/>
          <w:sz w:val="40"/>
          <w:szCs w:val="40"/>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alt="Beschreibung: C:\Users\Nina Iten\Desktop\ELK Schulpraxis\Handreichung_20120823\Grafiken\Grafik Kreislauf blau.png" style="position:absolute;margin-left:403.35pt;margin-top:-58.15pt;width:108.6pt;height:96.7pt;z-index:1;visibility:visible">
            <v:imagedata r:id="rId8" o:title=""/>
          </v:shape>
        </w:pict>
      </w:r>
    </w:p>
    <w:p w:rsidR="00FE4993" w:rsidRPr="00D06F92" w:rsidRDefault="00FE4993" w:rsidP="002076F9">
      <w:pPr>
        <w:spacing w:before="60" w:after="60" w:line="240" w:lineRule="auto"/>
        <w:rPr>
          <w:rFonts w:ascii="Tw Cen MT" w:hAnsi="Tw Cen MT"/>
          <w:sz w:val="40"/>
          <w:szCs w:val="40"/>
        </w:rPr>
      </w:pPr>
      <w:r w:rsidRPr="00D06F92">
        <w:rPr>
          <w:rFonts w:ascii="Tw Cen MT" w:hAnsi="Tw Cen MT"/>
          <w:sz w:val="40"/>
          <w:szCs w:val="40"/>
        </w:rPr>
        <w:t>Praxistransfer</w:t>
      </w:r>
    </w:p>
    <w:p w:rsidR="00FE4993" w:rsidRPr="002076F9" w:rsidRDefault="00FE4993" w:rsidP="002076F9">
      <w:pPr>
        <w:spacing w:before="60" w:after="60" w:line="240" w:lineRule="auto"/>
        <w:rPr>
          <w:rFonts w:ascii="Tw Cen MT" w:hAnsi="Tw Cen MT"/>
          <w:b/>
          <w:sz w:val="40"/>
          <w:szCs w:val="40"/>
        </w:rPr>
      </w:pPr>
      <w:r w:rsidRPr="002076F9">
        <w:rPr>
          <w:rFonts w:ascii="Tw Cen MT" w:hAnsi="Tw Cen MT"/>
          <w:b/>
          <w:sz w:val="40"/>
          <w:szCs w:val="40"/>
        </w:rPr>
        <w:t>Gelingensbedingungen (und Stolpersteine)</w:t>
      </w:r>
      <w:r w:rsidRPr="002076F9">
        <w:rPr>
          <w:rFonts w:ascii="Tw Cen MT" w:hAnsi="Tw Cen MT"/>
          <w:b/>
          <w:sz w:val="40"/>
          <w:szCs w:val="40"/>
          <w:vertAlign w:val="superscript"/>
        </w:rPr>
        <w:footnoteReference w:id="1"/>
      </w:r>
    </w:p>
    <w:p w:rsidR="00FE4993" w:rsidRPr="002076F9" w:rsidRDefault="00FE4993" w:rsidP="002076F9">
      <w:pPr>
        <w:spacing w:before="60" w:after="60" w:line="240" w:lineRule="auto"/>
        <w:rPr>
          <w:rFonts w:ascii="Tw Cen MT" w:hAnsi="Tw Cen MT"/>
          <w:sz w:val="24"/>
          <w:szCs w:val="24"/>
        </w:rPr>
      </w:pPr>
    </w:p>
    <w:p w:rsidR="00FE4993" w:rsidRPr="003706A7" w:rsidRDefault="00FE4993" w:rsidP="003706A7">
      <w:pPr>
        <w:spacing w:before="60" w:after="60" w:line="240" w:lineRule="auto"/>
        <w:rPr>
          <w:rFonts w:ascii="Tw Cen MT" w:hAnsi="Tw Cen MT"/>
          <w:b/>
        </w:rPr>
      </w:pPr>
      <w:r w:rsidRPr="003706A7">
        <w:rPr>
          <w:rFonts w:ascii="Tw Cen MT" w:hAnsi="Tw Cen MT"/>
          <w:b/>
        </w:rPr>
        <w:t>Kluft zwischen Wissen und Handeln: ein altes Problem</w:t>
      </w:r>
    </w:p>
    <w:p w:rsidR="00FE4993" w:rsidRPr="003706A7" w:rsidRDefault="00FE4993" w:rsidP="003074A3">
      <w:pPr>
        <w:spacing w:before="120" w:after="120" w:line="271" w:lineRule="auto"/>
        <w:jc w:val="both"/>
        <w:rPr>
          <w:rFonts w:ascii="Tw Cen MT" w:hAnsi="Tw Cen MT"/>
        </w:rPr>
      </w:pPr>
      <w:r w:rsidRPr="003706A7">
        <w:rPr>
          <w:rFonts w:ascii="Tw Cen MT" w:hAnsi="Tw Cen MT"/>
        </w:rPr>
        <w:t>Das Problem ist ein altes: Wir wissen, was gut wäre, wenden dieses Wissen jedoch nicht an. Bewegung ist gesund, Nichtrauchen auch, ebenso Masshalten in allen Belangen. Nur gelingt es uns nicht immer, dieses uns dienliche Wissen anzuwenden. Wir haben ein Transferproblem.</w:t>
      </w:r>
    </w:p>
    <w:p w:rsidR="00FE4993" w:rsidRPr="003706A7" w:rsidRDefault="00FE4993" w:rsidP="002076F9">
      <w:pPr>
        <w:spacing w:before="60" w:after="60" w:line="240" w:lineRule="auto"/>
        <w:jc w:val="both"/>
        <w:rPr>
          <w:rFonts w:ascii="Tw Cen MT" w:hAnsi="Tw Cen MT"/>
        </w:rPr>
      </w:pPr>
    </w:p>
    <w:p w:rsidR="00FE4993" w:rsidRPr="003706A7" w:rsidRDefault="00FE4993" w:rsidP="003706A7">
      <w:pPr>
        <w:spacing w:before="60" w:after="60" w:line="240" w:lineRule="auto"/>
        <w:rPr>
          <w:rFonts w:ascii="Tw Cen MT" w:hAnsi="Tw Cen MT"/>
          <w:b/>
        </w:rPr>
      </w:pPr>
      <w:r w:rsidRPr="003706A7">
        <w:rPr>
          <w:rFonts w:ascii="Tw Cen MT" w:hAnsi="Tw Cen MT"/>
          <w:b/>
        </w:rPr>
        <w:t>Kluft zwischen Wissen und Handeln: In der Weiterbildung ein bekanntes Problem</w:t>
      </w:r>
    </w:p>
    <w:p w:rsidR="00FE4993" w:rsidRPr="003706A7" w:rsidRDefault="00FE4993" w:rsidP="003074A3">
      <w:pPr>
        <w:spacing w:before="120" w:after="120" w:line="271" w:lineRule="auto"/>
        <w:jc w:val="both"/>
        <w:rPr>
          <w:rFonts w:ascii="Tw Cen MT" w:hAnsi="Tw Cen MT"/>
        </w:rPr>
      </w:pPr>
      <w:r w:rsidRPr="003706A7">
        <w:rPr>
          <w:rFonts w:ascii="Tw Cen MT" w:hAnsi="Tw Cen MT"/>
        </w:rPr>
        <w:t>Von vielen Weiterbildungskursen würden wir sagen, dass diese ausgesprochen interessant und lehrreich gewesen sind. Von einigen Kursen sind wir geradezu begeistert gewesen, unter anderem weil wir überzeugt davon gewesen sind, dass wir Ideen und Impulse erhalten haben, die wir gleich anderntags umsetzen werden. Mit Blick zurück müssen wir nach einigen Monaten feststellen, dass unsere Absichten das gleiche Schicksal erfahren haben, wie die vielen, guten Neujahrsvorsätze: Sie sind irgendwie auf der Strecke geblieben.</w:t>
      </w:r>
    </w:p>
    <w:p w:rsidR="00FE4993" w:rsidRPr="003706A7" w:rsidRDefault="00FE4993" w:rsidP="002076F9">
      <w:pPr>
        <w:spacing w:before="60" w:after="60" w:line="240" w:lineRule="auto"/>
        <w:jc w:val="both"/>
        <w:rPr>
          <w:rFonts w:ascii="Tw Cen MT" w:hAnsi="Tw Cen MT"/>
        </w:rPr>
      </w:pPr>
    </w:p>
    <w:p w:rsidR="00FE4993" w:rsidRPr="003706A7" w:rsidRDefault="00FE4993" w:rsidP="003706A7">
      <w:pPr>
        <w:spacing w:before="60" w:after="60" w:line="240" w:lineRule="auto"/>
        <w:rPr>
          <w:rFonts w:ascii="Tw Cen MT" w:hAnsi="Tw Cen MT"/>
          <w:b/>
        </w:rPr>
      </w:pPr>
      <w:r w:rsidRPr="003706A7">
        <w:rPr>
          <w:rFonts w:ascii="Tw Cen MT" w:hAnsi="Tw Cen MT"/>
          <w:b/>
        </w:rPr>
        <w:t>Lösungsalternative: Gelingensbedingungen zu einem Netzwerk verknüpfen</w:t>
      </w:r>
    </w:p>
    <w:p w:rsidR="00FE4993" w:rsidRPr="003706A7" w:rsidRDefault="00FE4993" w:rsidP="003074A3">
      <w:pPr>
        <w:spacing w:before="120" w:after="120" w:line="271" w:lineRule="auto"/>
        <w:jc w:val="both"/>
        <w:rPr>
          <w:rFonts w:ascii="Tw Cen MT" w:hAnsi="Tw Cen MT"/>
        </w:rPr>
      </w:pPr>
      <w:r w:rsidRPr="003706A7">
        <w:rPr>
          <w:rFonts w:ascii="Tw Cen MT" w:hAnsi="Tw Cen MT"/>
        </w:rPr>
        <w:t xml:space="preserve">Es gibt nicht </w:t>
      </w:r>
      <w:r w:rsidRPr="003074A3">
        <w:rPr>
          <w:rFonts w:ascii="Tw Cen MT" w:hAnsi="Tw Cen MT"/>
        </w:rPr>
        <w:t xml:space="preserve">das </w:t>
      </w:r>
      <w:r w:rsidRPr="003706A7">
        <w:rPr>
          <w:rFonts w:ascii="Tw Cen MT" w:hAnsi="Tw Cen MT"/>
        </w:rPr>
        <w:t xml:space="preserve">Rezept, um das </w:t>
      </w:r>
      <w:r>
        <w:rPr>
          <w:rFonts w:ascii="Tw Cen MT" w:hAnsi="Tw Cen MT"/>
        </w:rPr>
        <w:t xml:space="preserve">bekannte </w:t>
      </w:r>
      <w:r w:rsidRPr="003706A7">
        <w:rPr>
          <w:rFonts w:ascii="Tw Cen MT" w:hAnsi="Tw Cen MT"/>
        </w:rPr>
        <w:t xml:space="preserve">Transferproblem zu lösen. Es gibt eine Vielzahl von Bedingungen, die den Transfer von Erkenntnissen (Theorien, Modellen, Erfahrungen anderer) in die Praxis begünstigen. Von Interesse sind für Schulen diejenigen Bedingungen, auf </w:t>
      </w:r>
      <w:r>
        <w:rPr>
          <w:rFonts w:ascii="Tw Cen MT" w:hAnsi="Tw Cen MT"/>
        </w:rPr>
        <w:t>welche</w:t>
      </w:r>
      <w:r w:rsidRPr="003706A7">
        <w:rPr>
          <w:rFonts w:ascii="Tw Cen MT" w:hAnsi="Tw Cen MT"/>
        </w:rPr>
        <w:t xml:space="preserve"> Schulleitende, Steuergruppen, Teams und Lehrpersonen Einfluss nehmen können. Wir haben ein einfaches Modell entwickelt, das aufzeigt, wovon wirksame Weiterbildungen, die im Zusammenhang mit Entwicklungszielen stehen, abhängig sind (Abb. 1: Transfermodell).</w:t>
      </w:r>
    </w:p>
    <w:p w:rsidR="00FE4993" w:rsidRPr="003706A7" w:rsidRDefault="00D32770" w:rsidP="003074A3">
      <w:pPr>
        <w:spacing w:before="60" w:after="60" w:line="240" w:lineRule="auto"/>
        <w:jc w:val="center"/>
        <w:rPr>
          <w:rFonts w:ascii="Tw Cen MT" w:hAnsi="Tw Cen MT"/>
        </w:rPr>
      </w:pPr>
      <w:r>
        <w:rPr>
          <w:rFonts w:ascii="Tw Cen MT" w:hAnsi="Tw Cen MT"/>
          <w:noProof/>
          <w:lang w:eastAsia="de-CH"/>
        </w:rPr>
        <w:pict>
          <v:shape id="Bild 1" o:spid="_x0000_i1025" type="#_x0000_t75" style="width:449.25pt;height:249.75pt;visibility:visible">
            <v:imagedata r:id="rId9" o:title=""/>
          </v:shape>
        </w:pict>
      </w:r>
    </w:p>
    <w:p w:rsidR="00FE4993" w:rsidRPr="003706A7" w:rsidRDefault="00FE4993" w:rsidP="002076F9">
      <w:pPr>
        <w:spacing w:after="0" w:line="240" w:lineRule="auto"/>
        <w:rPr>
          <w:rFonts w:ascii="Tw Cen MT" w:hAnsi="Tw Cen MT"/>
        </w:rPr>
      </w:pPr>
      <w:r w:rsidRPr="003706A7">
        <w:rPr>
          <w:rFonts w:ascii="Tw Cen MT" w:hAnsi="Tw Cen MT"/>
        </w:rPr>
        <w:t>Abb. 1: Transfermodell</w:t>
      </w:r>
    </w:p>
    <w:p w:rsidR="00FE4993" w:rsidRPr="003706A7" w:rsidRDefault="00FE4993" w:rsidP="003074A3">
      <w:pPr>
        <w:spacing w:before="120" w:after="120" w:line="271" w:lineRule="auto"/>
        <w:jc w:val="both"/>
        <w:rPr>
          <w:rFonts w:ascii="Tw Cen MT" w:hAnsi="Tw Cen MT"/>
        </w:rPr>
      </w:pPr>
      <w:r w:rsidRPr="003706A7">
        <w:rPr>
          <w:rFonts w:ascii="Tw Cen MT" w:hAnsi="Tw Cen MT"/>
        </w:rPr>
        <w:lastRenderedPageBreak/>
        <w:t>Das Transfermodell ist ein Modell; es stellt also eine Vereinfachung der Wirklichkeit dar. Gerade diese Vereinfachung, wenn sie nicht trivial ist, macht uns handlungsfähig. Nachfolgend gehen wir davon aus, und das ist der Kern dieses Textes, dass in allen fünf Handlungsfeldern (1. Analyse, 2. Angebot, 3. Nutzung, 4. Praxistransfer und 5. Evaluation &amp; Reflexion) Überlegungen anzustellen sind, wie ein optimaler Praxistransfer gesichert werden kann. Auf die einzelne Lehrperson haben wir wenig Einfluss. Hingegen können Team- und Schulkulturen sehr wohl das Lernen und den Transfer des Gelernten begünstigen oder behindern. Beachten wir alle diese Handlungsfelder, dann entsteht ein Netzwerk von Bedingungen, die den Transfererfolg zwar nicht garantieren, aber doch erheblich begünstigen.</w:t>
      </w:r>
    </w:p>
    <w:p w:rsidR="00FE4993" w:rsidRPr="003706A7" w:rsidRDefault="00FE4993" w:rsidP="002076F9">
      <w:pPr>
        <w:spacing w:after="0" w:line="240" w:lineRule="auto"/>
        <w:rPr>
          <w:rFonts w:ascii="Tw Cen MT" w:hAnsi="Tw Cen MT"/>
        </w:rPr>
      </w:pPr>
    </w:p>
    <w:p w:rsidR="00FE4993" w:rsidRPr="003706A7" w:rsidRDefault="00FE4993" w:rsidP="003706A7">
      <w:pPr>
        <w:spacing w:before="60" w:after="60" w:line="240" w:lineRule="auto"/>
        <w:rPr>
          <w:rFonts w:ascii="Tw Cen MT" w:hAnsi="Tw Cen MT"/>
          <w:b/>
        </w:rPr>
      </w:pPr>
      <w:r w:rsidRPr="003706A7">
        <w:rPr>
          <w:rFonts w:ascii="Tw Cen MT" w:hAnsi="Tw Cen MT"/>
          <w:b/>
        </w:rPr>
        <w:t>Nutzen des Transfermodells</w:t>
      </w:r>
    </w:p>
    <w:p w:rsidR="00FE4993" w:rsidRPr="003706A7" w:rsidRDefault="00FE4993" w:rsidP="003074A3">
      <w:pPr>
        <w:spacing w:before="120" w:after="120" w:line="271" w:lineRule="auto"/>
        <w:jc w:val="both"/>
        <w:rPr>
          <w:rFonts w:ascii="Tw Cen MT" w:hAnsi="Tw Cen MT"/>
        </w:rPr>
      </w:pPr>
      <w:r w:rsidRPr="003706A7">
        <w:rPr>
          <w:rFonts w:ascii="Tw Cen MT" w:hAnsi="Tw Cen MT"/>
        </w:rPr>
        <w:t>Auf Grund dieses Modells können Schulleitende, Steuergruppen, Unterrichtsteams und Lehrpersonen sich überlegen, was vorzusorgen ist, damit gewünschte oder auferlegte Entwicklungen und diese unterstützende Weiterbildungen in der Praxis wirksam werden.</w:t>
      </w:r>
    </w:p>
    <w:p w:rsidR="00FE4993" w:rsidRPr="003706A7" w:rsidRDefault="00FE4993" w:rsidP="002076F9">
      <w:pPr>
        <w:spacing w:after="0" w:line="240" w:lineRule="auto"/>
        <w:rPr>
          <w:rFonts w:ascii="Tw Cen MT" w:hAnsi="Tw Cen MT"/>
        </w:rPr>
      </w:pPr>
    </w:p>
    <w:p w:rsidR="00FE4993" w:rsidRPr="003706A7" w:rsidRDefault="00FE4993" w:rsidP="002076F9">
      <w:pPr>
        <w:spacing w:after="0" w:line="240" w:lineRule="auto"/>
        <w:rPr>
          <w:rFonts w:ascii="Tw Cen MT" w:hAnsi="Tw Cen MT"/>
        </w:rPr>
      </w:pPr>
    </w:p>
    <w:p w:rsidR="00FE4993" w:rsidRPr="003706A7" w:rsidRDefault="00FE4993" w:rsidP="003706A7">
      <w:pPr>
        <w:spacing w:before="60" w:after="60" w:line="240" w:lineRule="auto"/>
        <w:rPr>
          <w:rFonts w:ascii="Tw Cen MT" w:hAnsi="Tw Cen MT"/>
          <w:b/>
        </w:rPr>
      </w:pPr>
      <w:r w:rsidRPr="003706A7">
        <w:rPr>
          <w:rFonts w:ascii="Tw Cen MT" w:hAnsi="Tw Cen MT"/>
          <w:b/>
        </w:rPr>
        <w:t xml:space="preserve">Praxistransfer: Gelingensbedingungen </w:t>
      </w:r>
    </w:p>
    <w:p w:rsidR="00FE4993" w:rsidRPr="001E63CD" w:rsidRDefault="00FE4993" w:rsidP="004342C8">
      <w:pPr>
        <w:spacing w:before="120" w:after="0" w:line="271" w:lineRule="auto"/>
        <w:jc w:val="both"/>
        <w:rPr>
          <w:rFonts w:ascii="Tw Cen MT" w:hAnsi="Tw Cen MT"/>
        </w:rPr>
      </w:pPr>
      <w:r w:rsidRPr="003706A7">
        <w:rPr>
          <w:rFonts w:ascii="Tw Cen MT" w:hAnsi="Tw Cen MT"/>
        </w:rPr>
        <w:t>«Nur der Täter lernt.»</w:t>
      </w:r>
      <w:r>
        <w:rPr>
          <w:rFonts w:ascii="Tw Cen MT" w:hAnsi="Tw Cen MT"/>
        </w:rPr>
        <w:t xml:space="preserve"> </w:t>
      </w:r>
      <w:r w:rsidRPr="003706A7">
        <w:rPr>
          <w:rFonts w:ascii="Tw Cen MT" w:hAnsi="Tw Cen MT"/>
        </w:rPr>
        <w:t>–</w:t>
      </w:r>
      <w:r>
        <w:rPr>
          <w:rFonts w:ascii="Tw Cen MT" w:hAnsi="Tw Cen MT"/>
        </w:rPr>
        <w:softHyphen/>
        <w:t xml:space="preserve"> </w:t>
      </w:r>
      <w:r w:rsidRPr="001E63CD">
        <w:rPr>
          <w:rFonts w:ascii="Tw Cen MT" w:hAnsi="Tw Cen MT"/>
        </w:rPr>
        <w:t>F. Nietzsche</w:t>
      </w:r>
    </w:p>
    <w:p w:rsidR="00FE4993" w:rsidRPr="003706A7" w:rsidRDefault="00FE4993" w:rsidP="003074A3">
      <w:pPr>
        <w:spacing w:before="120" w:after="120" w:line="271" w:lineRule="auto"/>
        <w:jc w:val="both"/>
        <w:rPr>
          <w:rFonts w:ascii="Tw Cen MT" w:hAnsi="Tw Cen MT"/>
        </w:rPr>
      </w:pPr>
      <w:r w:rsidRPr="003706A7">
        <w:rPr>
          <w:rFonts w:ascii="Tw Cen MT" w:hAnsi="Tw Cen MT"/>
        </w:rPr>
        <w:t xml:space="preserve">Zu diesem Zitat gäbe es einiges zu sagen. Ich beschränke mich auf zwei Aspekte: Erstens – auch die </w:t>
      </w:r>
      <w:r w:rsidRPr="003074A3">
        <w:rPr>
          <w:rFonts w:ascii="Tw Cen MT" w:hAnsi="Tw Cen MT"/>
        </w:rPr>
        <w:t>Täterin</w:t>
      </w:r>
      <w:r w:rsidRPr="003706A7">
        <w:rPr>
          <w:rFonts w:ascii="Tw Cen MT" w:hAnsi="Tw Cen MT"/>
        </w:rPr>
        <w:t xml:space="preserve"> lernt. Zweitens – gibt es nicht nur ein Lernen, dass auf Taten basiert; es gibt eine Vielzahl von Lernmöglichkeiten, beispielsweise lerne ich beim Betrachten eines Bildes von Paul Klee, auch durch die Ausführungen des Sachverständigen für Kunst und im Selbststudium, was Klee bewogen hat, so zu malen, wie er malt. Mein Lernen beinhaltet keine Tat; Kontemplation, Nachdenken im Dialog mit anderen führen dazu, dass ich mich Klees Werken annähere (durchaus ein Lernprozess).</w:t>
      </w:r>
    </w:p>
    <w:p w:rsidR="00FE4993" w:rsidRPr="003706A7" w:rsidRDefault="00FE4993" w:rsidP="003074A3">
      <w:pPr>
        <w:spacing w:after="0" w:line="271" w:lineRule="auto"/>
        <w:jc w:val="both"/>
        <w:rPr>
          <w:rFonts w:ascii="Tw Cen MT" w:hAnsi="Tw Cen MT"/>
        </w:rPr>
      </w:pPr>
      <w:r w:rsidRPr="003706A7">
        <w:rPr>
          <w:rFonts w:ascii="Tw Cen MT" w:hAnsi="Tw Cen MT"/>
        </w:rPr>
        <w:t>«Gut ist, was sich bewährt.»</w:t>
      </w:r>
    </w:p>
    <w:p w:rsidR="00FE4993" w:rsidRPr="003706A7" w:rsidRDefault="00FE4993" w:rsidP="003074A3">
      <w:pPr>
        <w:spacing w:before="120" w:after="120" w:line="271" w:lineRule="auto"/>
        <w:jc w:val="both"/>
        <w:rPr>
          <w:rFonts w:ascii="Tw Cen MT" w:hAnsi="Tw Cen MT"/>
        </w:rPr>
      </w:pPr>
      <w:r w:rsidRPr="003706A7">
        <w:rPr>
          <w:rFonts w:ascii="Tw Cen MT" w:hAnsi="Tw Cen MT"/>
        </w:rPr>
        <w:t xml:space="preserve">Wenn es um Schulentwicklung geht, dann muss sich diese an den Taten messen lassen. (Insofern hat hier F. Nietzsche schon recht: Nur der Täter, nur die Täterin lernt.) Und diese müssen sich bewähren. Voraussetzung dafür ist, dass Entwicklungsvorhaben so geplant werden, dass die Chancen gut stehen, dass Gelerntes in die Tat umgesetzt wird und dass daraus – aus diesen Umsetzungen – auch gelernt wird. </w:t>
      </w:r>
    </w:p>
    <w:p w:rsidR="00FE4993" w:rsidRPr="003706A7" w:rsidRDefault="00FE4993" w:rsidP="003074A3">
      <w:pPr>
        <w:spacing w:before="120" w:after="120" w:line="271" w:lineRule="auto"/>
        <w:jc w:val="both"/>
        <w:rPr>
          <w:rFonts w:ascii="Tw Cen MT" w:hAnsi="Tw Cen MT"/>
        </w:rPr>
      </w:pPr>
      <w:r w:rsidRPr="003706A7">
        <w:rPr>
          <w:rFonts w:ascii="Tw Cen MT" w:hAnsi="Tw Cen MT"/>
        </w:rPr>
        <w:t xml:space="preserve">Schulleitende, Steuergruppen, Teams und Lehrpersonen können vielfältig darauf Einfluss nehmen, dass erweitertes und neues Wissen in die Praxis umgesetzt werden und dass diese erweiterte und neue Praxis nach ersten Umsetzungen nicht versandet. </w:t>
      </w:r>
    </w:p>
    <w:p w:rsidR="00FE4993" w:rsidRDefault="00FE4993" w:rsidP="003074A3">
      <w:pPr>
        <w:spacing w:before="120" w:after="120" w:line="271" w:lineRule="auto"/>
        <w:jc w:val="both"/>
        <w:rPr>
          <w:rFonts w:ascii="Tw Cen MT" w:hAnsi="Tw Cen MT"/>
        </w:rPr>
      </w:pPr>
      <w:r w:rsidRPr="003706A7">
        <w:rPr>
          <w:rFonts w:ascii="Tw Cen MT" w:hAnsi="Tw Cen MT"/>
        </w:rPr>
        <w:t>Das nachfolgende Instrument soll Weiterbildungs- und Entwicklungsverantwortliche an Schule dazu anregen, wie der Praxistransfer vielfältig – gewissermassen durch ein Netzwerk von Gelingens</w:t>
      </w:r>
      <w:r>
        <w:rPr>
          <w:rFonts w:ascii="Tw Cen MT" w:hAnsi="Tw Cen MT"/>
        </w:rPr>
        <w:softHyphen/>
      </w:r>
      <w:r w:rsidRPr="003706A7">
        <w:rPr>
          <w:rFonts w:ascii="Tw Cen MT" w:hAnsi="Tw Cen MT"/>
        </w:rPr>
        <w:t>bedingungen – begünstigt werden kann.</w:t>
      </w:r>
    </w:p>
    <w:p w:rsidR="00FE4993" w:rsidRDefault="00FE4993" w:rsidP="002076F9">
      <w:pPr>
        <w:spacing w:after="0" w:line="240" w:lineRule="auto"/>
        <w:rPr>
          <w:rFonts w:ascii="Tw Cen MT" w:hAnsi="Tw Cen MT"/>
        </w:rPr>
      </w:pPr>
      <w:r>
        <w:rPr>
          <w:rFonts w:ascii="Tw Cen MT" w:hAnsi="Tw Cen MT"/>
        </w:rPr>
        <w:br w:type="page"/>
      </w:r>
    </w:p>
    <w:p w:rsidR="00FE4993" w:rsidRDefault="00D32770" w:rsidP="002076F9">
      <w:pPr>
        <w:spacing w:after="0" w:line="240" w:lineRule="auto"/>
        <w:rPr>
          <w:rFonts w:ascii="Tw Cen MT" w:hAnsi="Tw Cen MT"/>
        </w:rPr>
      </w:pPr>
      <w:r>
        <w:rPr>
          <w:noProof/>
          <w:lang w:val="en-US"/>
        </w:rPr>
        <w:pict>
          <v:shape id="_x0000_s1029" type="#_x0000_t75" alt="Beschreibung: C:\Users\Nina Iten\Desktop\ELK Schulpraxis\Handreichung_20120823\Grafiken\Grafik Kreislauf blau.png" style="position:absolute;margin-left:387pt;margin-top:-54.7pt;width:108.6pt;height:96.7pt;z-index:2;visibility:visible">
            <v:imagedata r:id="rId8" o:title=""/>
          </v:shape>
        </w:pict>
      </w:r>
    </w:p>
    <w:p w:rsidR="00FE4993" w:rsidRDefault="00FE4993" w:rsidP="002076F9">
      <w:pPr>
        <w:spacing w:after="0" w:line="240" w:lineRule="auto"/>
        <w:rPr>
          <w:rFonts w:ascii="Tw Cen MT" w:hAnsi="Tw Cen MT"/>
        </w:rPr>
      </w:pPr>
    </w:p>
    <w:p w:rsidR="00FE4993" w:rsidRDefault="00FE4993" w:rsidP="002076F9">
      <w:pPr>
        <w:spacing w:after="0" w:line="240" w:lineRule="auto"/>
        <w:rPr>
          <w:rFonts w:ascii="Tw Cen MT" w:hAnsi="Tw Cen MT"/>
          <w:sz w:val="28"/>
          <w:szCs w:val="28"/>
        </w:rPr>
      </w:pPr>
    </w:p>
    <w:p w:rsidR="00FE4993" w:rsidRPr="008D3F9C" w:rsidRDefault="00FE4993" w:rsidP="002076F9">
      <w:pPr>
        <w:spacing w:after="0" w:line="240" w:lineRule="auto"/>
        <w:rPr>
          <w:rFonts w:ascii="Tw Cen MT" w:hAnsi="Tw Cen MT"/>
          <w:b/>
          <w:sz w:val="28"/>
          <w:szCs w:val="28"/>
        </w:rPr>
      </w:pPr>
      <w:r w:rsidRPr="008D3F9C">
        <w:rPr>
          <w:rFonts w:ascii="Tw Cen MT" w:hAnsi="Tw Cen MT"/>
          <w:b/>
          <w:sz w:val="28"/>
          <w:szCs w:val="28"/>
        </w:rPr>
        <w:t>Gelingensbedingungen</w:t>
      </w:r>
    </w:p>
    <w:p w:rsidR="00FE4993" w:rsidRPr="00D06F92" w:rsidRDefault="00FE4993" w:rsidP="002076F9">
      <w:pPr>
        <w:spacing w:after="0" w:line="240" w:lineRule="auto"/>
        <w:rPr>
          <w:rFonts w:ascii="Tw Cen MT" w:hAnsi="Tw Cen MT"/>
          <w:sz w:val="28"/>
          <w:szCs w:val="28"/>
        </w:rPr>
      </w:pPr>
    </w:p>
    <w:p w:rsidR="00FE4993" w:rsidRPr="003706A7" w:rsidRDefault="00FE4993" w:rsidP="002076F9">
      <w:pPr>
        <w:spacing w:after="0" w:line="240" w:lineRule="auto"/>
        <w:rPr>
          <w:rFonts w:ascii="Tw Cen MT" w:hAnsi="Tw Cen M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4"/>
        <w:gridCol w:w="3475"/>
        <w:gridCol w:w="3439"/>
      </w:tblGrid>
      <w:tr w:rsidR="00FE4993" w:rsidRPr="003706A7" w:rsidTr="00206CEF">
        <w:tc>
          <w:tcPr>
            <w:tcW w:w="2374" w:type="dxa"/>
            <w:shd w:val="clear" w:color="auto" w:fill="59B0B9"/>
          </w:tcPr>
          <w:p w:rsidR="00FE4993" w:rsidRPr="00206CEF" w:rsidRDefault="00FE4993" w:rsidP="004A35A9">
            <w:pPr>
              <w:spacing w:before="120" w:after="120" w:line="240" w:lineRule="auto"/>
              <w:rPr>
                <w:rFonts w:ascii="Tw Cen MT" w:hAnsi="Tw Cen MT"/>
                <w:b/>
                <w:lang w:val="de-DE"/>
              </w:rPr>
            </w:pPr>
            <w:r w:rsidRPr="00206CEF">
              <w:rPr>
                <w:rFonts w:ascii="Tw Cen MT" w:hAnsi="Tw Cen MT"/>
                <w:b/>
                <w:lang w:val="de-DE"/>
              </w:rPr>
              <w:t>Handlungsbereich</w:t>
            </w:r>
          </w:p>
        </w:tc>
        <w:tc>
          <w:tcPr>
            <w:tcW w:w="3475" w:type="dxa"/>
            <w:shd w:val="clear" w:color="auto" w:fill="59B0B9"/>
          </w:tcPr>
          <w:p w:rsidR="00FE4993" w:rsidRPr="008D3F9C" w:rsidRDefault="00FE4993" w:rsidP="004A35A9">
            <w:pPr>
              <w:spacing w:before="120" w:after="120" w:line="240" w:lineRule="auto"/>
              <w:rPr>
                <w:rFonts w:ascii="Tw Cen MT" w:hAnsi="Tw Cen MT"/>
                <w:b/>
                <w:lang w:val="de-DE"/>
              </w:rPr>
            </w:pPr>
            <w:r w:rsidRPr="008D3F9C">
              <w:rPr>
                <w:rFonts w:ascii="Tw Cen MT" w:hAnsi="Tw Cen MT"/>
                <w:b/>
                <w:lang w:val="de-DE"/>
              </w:rPr>
              <w:t xml:space="preserve">Der Praxistransfer wird begünstigt, unterstützt, gefördert, animiert … </w:t>
            </w:r>
          </w:p>
        </w:tc>
        <w:tc>
          <w:tcPr>
            <w:tcW w:w="3439" w:type="dxa"/>
            <w:shd w:val="clear" w:color="auto" w:fill="59B0B9"/>
          </w:tcPr>
          <w:p w:rsidR="00FE4993" w:rsidRPr="00D06F92" w:rsidRDefault="00FE4993" w:rsidP="004A35A9">
            <w:pPr>
              <w:spacing w:before="120" w:after="120" w:line="240" w:lineRule="auto"/>
              <w:rPr>
                <w:rFonts w:ascii="Tw Cen MT" w:hAnsi="Tw Cen MT"/>
                <w:b/>
                <w:lang w:val="de-DE"/>
              </w:rPr>
            </w:pPr>
            <w:r w:rsidRPr="00D06F92">
              <w:rPr>
                <w:rFonts w:ascii="Tw Cen MT" w:hAnsi="Tw Cen MT"/>
                <w:b/>
                <w:lang w:val="de-DE"/>
              </w:rPr>
              <w:t>Ideen für die eigene Schule</w:t>
            </w:r>
          </w:p>
        </w:tc>
      </w:tr>
      <w:tr w:rsidR="00FE4993" w:rsidRPr="003706A7" w:rsidTr="00206CEF">
        <w:tc>
          <w:tcPr>
            <w:tcW w:w="2374" w:type="dxa"/>
            <w:shd w:val="clear" w:color="auto" w:fill="D6EBEE"/>
          </w:tcPr>
          <w:p w:rsidR="00FE4993" w:rsidRPr="008D3F9C" w:rsidRDefault="00FE4993" w:rsidP="004A35A9">
            <w:pPr>
              <w:spacing w:before="120" w:after="120" w:line="240" w:lineRule="auto"/>
              <w:rPr>
                <w:rFonts w:ascii="Tw Cen MT" w:hAnsi="Tw Cen MT"/>
                <w:b/>
                <w:lang w:val="de-DE"/>
              </w:rPr>
            </w:pPr>
            <w:r w:rsidRPr="008D3F9C">
              <w:rPr>
                <w:rFonts w:ascii="Tw Cen MT" w:hAnsi="Tw Cen MT"/>
                <w:b/>
                <w:lang w:val="de-DE"/>
              </w:rPr>
              <w:t>Analyse</w:t>
            </w:r>
          </w:p>
        </w:tc>
        <w:tc>
          <w:tcPr>
            <w:tcW w:w="3475" w:type="dxa"/>
          </w:tcPr>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durch Modelle – an der eigenen Schule oder an anderen Schulen, die bereits tun,  was breitflächig entwickelt werden soll</w:t>
            </w:r>
          </w:p>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durch Modelle, die über ihren Lern- und Entwicklungsprozess berichten können (Modeling)</w:t>
            </w:r>
          </w:p>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durch Schulen als Modelle, die vor Kurzem einen ähnlichen Weg beschritten haben, den die besuchende Schule in nächster Zeit begehen will</w:t>
            </w:r>
          </w:p>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durch die Analyse von Chancen und Risiken</w:t>
            </w:r>
            <w:r w:rsidRPr="003706A7">
              <w:rPr>
                <w:rFonts w:ascii="Tw Cen MT" w:hAnsi="Tw Cen MT"/>
                <w:lang w:val="de-DE"/>
              </w:rPr>
              <w:br/>
              <w:t>«Wenn wir altersgemischtes Lernen in vier Jahren einführen, welche Chancen sehen wir darin, welche Risiken befürchten wir?“</w:t>
            </w:r>
            <w:r w:rsidRPr="003706A7">
              <w:rPr>
                <w:rFonts w:ascii="Tw Cen MT" w:hAnsi="Tw Cen MT"/>
                <w:lang w:val="de-DE"/>
              </w:rPr>
              <w:br/>
              <w:t>Der Praxistransfer wird durch die Chancen-Risiko-Analyse in Gedanken (inneres Probehandeln) vorweg genommen.</w:t>
            </w:r>
          </w:p>
        </w:tc>
        <w:tc>
          <w:tcPr>
            <w:tcW w:w="3439" w:type="dxa"/>
          </w:tcPr>
          <w:p w:rsidR="00FE4993" w:rsidRPr="003706A7" w:rsidRDefault="00FE4993" w:rsidP="004A35A9">
            <w:pPr>
              <w:spacing w:before="120" w:after="120" w:line="240" w:lineRule="auto"/>
              <w:rPr>
                <w:rFonts w:ascii="Tw Cen MT" w:hAnsi="Tw Cen MT"/>
                <w:lang w:val="de-DE"/>
              </w:rPr>
            </w:pPr>
          </w:p>
        </w:tc>
      </w:tr>
      <w:tr w:rsidR="00FE4993" w:rsidRPr="003706A7" w:rsidTr="00206CEF">
        <w:tc>
          <w:tcPr>
            <w:tcW w:w="2374" w:type="dxa"/>
            <w:shd w:val="clear" w:color="auto" w:fill="D6EBEE"/>
          </w:tcPr>
          <w:p w:rsidR="00FE4993" w:rsidRPr="008D3F9C" w:rsidRDefault="00FE4993" w:rsidP="004A35A9">
            <w:pPr>
              <w:spacing w:before="120" w:after="120" w:line="240" w:lineRule="auto"/>
              <w:rPr>
                <w:rFonts w:ascii="Tw Cen MT" w:hAnsi="Tw Cen MT"/>
                <w:b/>
                <w:lang w:val="de-DE"/>
              </w:rPr>
            </w:pPr>
            <w:r w:rsidRPr="008D3F9C">
              <w:rPr>
                <w:rFonts w:ascii="Tw Cen MT" w:hAnsi="Tw Cen MT"/>
                <w:b/>
                <w:lang w:val="de-DE"/>
              </w:rPr>
              <w:t>Weiterbildungsangebot</w:t>
            </w:r>
          </w:p>
        </w:tc>
        <w:tc>
          <w:tcPr>
            <w:tcW w:w="3475" w:type="dxa"/>
          </w:tcPr>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die Ziele für eine WB (auf Grund der Analyse) zum Bedarf der Schule passend sind</w:t>
            </w:r>
          </w:p>
          <w:p w:rsidR="00A66B53" w:rsidRPr="00A66B53" w:rsidRDefault="00A66B53" w:rsidP="00A66B53">
            <w:pPr>
              <w:numPr>
                <w:ilvl w:val="0"/>
                <w:numId w:val="6"/>
              </w:numPr>
              <w:spacing w:before="120" w:after="120" w:line="240" w:lineRule="auto"/>
              <w:ind w:left="227" w:hanging="227"/>
              <w:contextualSpacing/>
              <w:rPr>
                <w:rFonts w:ascii="Tw Cen MT" w:hAnsi="Tw Cen MT"/>
                <w:lang w:val="de-DE"/>
              </w:rPr>
            </w:pPr>
            <w:r w:rsidRPr="00A66B53">
              <w:rPr>
                <w:rFonts w:ascii="Tw Cen MT" w:hAnsi="Tw Cen MT"/>
                <w:lang w:val="de-DE"/>
              </w:rPr>
              <w:t>wenn bei der Zielentwicklung diejenigen, für die die WB gedacht ist, mitbeteiligt sind</w:t>
            </w:r>
          </w:p>
          <w:p w:rsidR="00A66B53" w:rsidRPr="00A66B53" w:rsidRDefault="00A66B53" w:rsidP="00A66B53">
            <w:pPr>
              <w:numPr>
                <w:ilvl w:val="0"/>
                <w:numId w:val="6"/>
              </w:numPr>
              <w:spacing w:before="120" w:after="120" w:line="240" w:lineRule="auto"/>
              <w:ind w:left="227" w:hanging="227"/>
              <w:contextualSpacing/>
              <w:rPr>
                <w:rFonts w:ascii="Tw Cen MT" w:hAnsi="Tw Cen MT"/>
                <w:lang w:val="de-DE"/>
              </w:rPr>
            </w:pPr>
            <w:r w:rsidRPr="00A66B53">
              <w:rPr>
                <w:rFonts w:ascii="Tw Cen MT" w:hAnsi="Tw Cen MT"/>
                <w:lang w:val="de-DE"/>
              </w:rPr>
              <w:t>wenn Theorie und Praxis miteinander so verknüpft werden, dass Theorie praktisch und Praxis theoretisch interessant wird</w:t>
            </w:r>
          </w:p>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Methoden, die vermittelt werden, in einem grösseren Sinnzusammenhang stehen</w:t>
            </w:r>
          </w:p>
          <w:p w:rsidR="00FE4993"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die Weiterbildung am Vorwissen, an den Erfahrungen und an den mentalen Modellen (subjektiven Theorien) der Teilnehmenden anknüpft</w:t>
            </w:r>
          </w:p>
          <w:p w:rsidR="00FE4993" w:rsidRDefault="00FE4993" w:rsidP="00B67F51">
            <w:pPr>
              <w:spacing w:before="120" w:after="120" w:line="240" w:lineRule="auto"/>
              <w:contextualSpacing/>
              <w:rPr>
                <w:rFonts w:ascii="Tw Cen MT" w:hAnsi="Tw Cen MT"/>
                <w:lang w:val="de-DE"/>
              </w:rPr>
            </w:pPr>
          </w:p>
          <w:p w:rsidR="00FE4993" w:rsidRDefault="00FE4993" w:rsidP="00B67F51">
            <w:pPr>
              <w:numPr>
                <w:ilvl w:val="0"/>
                <w:numId w:val="6"/>
              </w:numPr>
              <w:spacing w:before="240" w:after="120" w:line="240" w:lineRule="auto"/>
              <w:ind w:left="227" w:hanging="227"/>
              <w:contextualSpacing/>
              <w:rPr>
                <w:rFonts w:ascii="Tw Cen MT" w:hAnsi="Tw Cen MT"/>
                <w:lang w:val="de-DE"/>
              </w:rPr>
            </w:pPr>
            <w:r w:rsidRPr="003706A7">
              <w:rPr>
                <w:rFonts w:ascii="Tw Cen MT" w:hAnsi="Tw Cen MT"/>
                <w:lang w:val="de-DE"/>
              </w:rPr>
              <w:lastRenderedPageBreak/>
              <w:t>wenn die Weiterbildung ermutigt und zuversichtlich macht</w:t>
            </w:r>
          </w:p>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eine emotionale Betroffenheit erzeugt werden kann</w:t>
            </w:r>
          </w:p>
          <w:p w:rsidR="00A66B53" w:rsidRPr="00A66B53" w:rsidRDefault="00A66B53" w:rsidP="00A66B53">
            <w:pPr>
              <w:numPr>
                <w:ilvl w:val="0"/>
                <w:numId w:val="6"/>
              </w:numPr>
              <w:spacing w:before="120" w:after="120" w:line="240" w:lineRule="auto"/>
              <w:ind w:left="227" w:hanging="227"/>
              <w:contextualSpacing/>
              <w:rPr>
                <w:rFonts w:ascii="Tw Cen MT" w:hAnsi="Tw Cen MT"/>
                <w:lang w:val="de-DE"/>
              </w:rPr>
            </w:pPr>
            <w:r w:rsidRPr="00A66B53">
              <w:rPr>
                <w:rFonts w:ascii="Tw Cen MT" w:hAnsi="Tw Cen MT"/>
                <w:lang w:val="de-DE"/>
              </w:rPr>
              <w:t>wenn schon innerhalb der Weiterbildung Raum für die Vorbereitung des Praxistransfers gegeben wird</w:t>
            </w:r>
          </w:p>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das Transferproblem zum Thema wird und Hilfen angeboten werden, wie dieses überwunden werden kann</w:t>
            </w:r>
          </w:p>
          <w:p w:rsidR="00FE4993" w:rsidRPr="003706A7" w:rsidRDefault="00A66B53" w:rsidP="004A35A9">
            <w:pPr>
              <w:numPr>
                <w:ilvl w:val="0"/>
                <w:numId w:val="6"/>
              </w:numPr>
              <w:spacing w:before="120" w:after="120" w:line="240" w:lineRule="auto"/>
              <w:ind w:left="227" w:hanging="227"/>
              <w:contextualSpacing/>
              <w:rPr>
                <w:rFonts w:ascii="Tw Cen MT" w:hAnsi="Tw Cen MT"/>
                <w:lang w:val="de-DE"/>
              </w:rPr>
            </w:pPr>
            <w:r>
              <w:rPr>
                <w:rFonts w:ascii="Tw Cen MT" w:hAnsi="Tw Cen MT"/>
                <w:lang w:val="de-DE"/>
              </w:rPr>
              <w:t xml:space="preserve">wenn </w:t>
            </w:r>
            <w:r w:rsidR="00FE4993" w:rsidRPr="003706A7">
              <w:rPr>
                <w:rFonts w:ascii="Tw Cen MT" w:hAnsi="Tw Cen MT"/>
                <w:lang w:val="de-DE"/>
              </w:rPr>
              <w:t>Neugierde gegenüber dem Besserwissertum Vorrang hat</w:t>
            </w:r>
          </w:p>
        </w:tc>
        <w:tc>
          <w:tcPr>
            <w:tcW w:w="3439" w:type="dxa"/>
          </w:tcPr>
          <w:p w:rsidR="00FE4993" w:rsidRPr="003706A7" w:rsidRDefault="00FE4993" w:rsidP="004A35A9">
            <w:pPr>
              <w:spacing w:before="120" w:after="120" w:line="240" w:lineRule="auto"/>
              <w:rPr>
                <w:rFonts w:ascii="Tw Cen MT" w:hAnsi="Tw Cen MT"/>
                <w:lang w:val="de-DE"/>
              </w:rPr>
            </w:pPr>
          </w:p>
        </w:tc>
      </w:tr>
      <w:tr w:rsidR="00FE4993" w:rsidRPr="003706A7" w:rsidTr="00206CEF">
        <w:tc>
          <w:tcPr>
            <w:tcW w:w="2374" w:type="dxa"/>
            <w:shd w:val="clear" w:color="auto" w:fill="D6EBEE"/>
          </w:tcPr>
          <w:p w:rsidR="00FE4993" w:rsidRPr="008D3F9C" w:rsidRDefault="00FE4993" w:rsidP="004A35A9">
            <w:pPr>
              <w:spacing w:before="120" w:after="120" w:line="240" w:lineRule="auto"/>
              <w:rPr>
                <w:rFonts w:ascii="Tw Cen MT" w:hAnsi="Tw Cen MT"/>
                <w:b/>
                <w:lang w:val="de-DE"/>
              </w:rPr>
            </w:pPr>
            <w:r w:rsidRPr="008D3F9C">
              <w:rPr>
                <w:rFonts w:ascii="Tw Cen MT" w:hAnsi="Tw Cen MT"/>
                <w:b/>
                <w:lang w:val="de-DE"/>
              </w:rPr>
              <w:lastRenderedPageBreak/>
              <w:t>Nutzer / innen</w:t>
            </w:r>
          </w:p>
        </w:tc>
        <w:tc>
          <w:tcPr>
            <w:tcW w:w="3475" w:type="dxa"/>
          </w:tcPr>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Lehrpersonen bereit sind, ihre subjektiven Theorien, mentalen Modelle sich bewusst zu machen</w:t>
            </w:r>
          </w:p>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sie neues Wissen mit bestehendem Wissen verknüpfen wollen und können</w:t>
            </w:r>
          </w:p>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sie vermittelte Kompetenzen selbst in einen bedeutsamen Sinnzusammenhang bringen</w:t>
            </w:r>
          </w:p>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sie bereit sind, Neues auszuprobieren</w:t>
            </w:r>
          </w:p>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sie bereit sind, dies mit anderen Kolleginnen und Kollegen gemeinsam zu tun</w:t>
            </w:r>
          </w:p>
        </w:tc>
        <w:tc>
          <w:tcPr>
            <w:tcW w:w="3439" w:type="dxa"/>
          </w:tcPr>
          <w:p w:rsidR="00FE4993" w:rsidRPr="003706A7" w:rsidRDefault="00FE4993" w:rsidP="004A35A9">
            <w:pPr>
              <w:spacing w:before="120" w:after="120" w:line="240" w:lineRule="auto"/>
              <w:rPr>
                <w:rFonts w:ascii="Tw Cen MT" w:hAnsi="Tw Cen MT"/>
                <w:lang w:val="de-DE"/>
              </w:rPr>
            </w:pPr>
          </w:p>
        </w:tc>
      </w:tr>
      <w:tr w:rsidR="00FE4993" w:rsidRPr="003706A7" w:rsidTr="00206CEF">
        <w:tc>
          <w:tcPr>
            <w:tcW w:w="2374" w:type="dxa"/>
            <w:shd w:val="clear" w:color="auto" w:fill="D6EBEE"/>
          </w:tcPr>
          <w:p w:rsidR="00FE4993" w:rsidRPr="008D3F9C" w:rsidRDefault="00FE4993" w:rsidP="004A35A9">
            <w:pPr>
              <w:spacing w:before="120" w:after="120" w:line="240" w:lineRule="auto"/>
              <w:rPr>
                <w:rFonts w:ascii="Tw Cen MT" w:hAnsi="Tw Cen MT"/>
                <w:b/>
                <w:lang w:val="de-DE"/>
              </w:rPr>
            </w:pPr>
            <w:r w:rsidRPr="008D3F9C">
              <w:rPr>
                <w:rFonts w:ascii="Tw Cen MT" w:hAnsi="Tw Cen MT"/>
                <w:b/>
                <w:lang w:val="de-DE"/>
              </w:rPr>
              <w:t>Praxistransfer</w:t>
            </w:r>
          </w:p>
        </w:tc>
        <w:tc>
          <w:tcPr>
            <w:tcW w:w="3475" w:type="dxa"/>
          </w:tcPr>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es an der Schule dafür die Möglichkeit gibt</w:t>
            </w:r>
          </w:p>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dieser zusammen mit einer Weiterbildung geplant ist</w:t>
            </w:r>
          </w:p>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es zwischen Lehrpersonen und Schulleitung eine Vereinbarung gibt</w:t>
            </w:r>
          </w:p>
          <w:p w:rsidR="00FE4993" w:rsidRPr="003706A7" w:rsidRDefault="00A66B53" w:rsidP="00F96709">
            <w:pPr>
              <w:numPr>
                <w:ilvl w:val="0"/>
                <w:numId w:val="6"/>
              </w:numPr>
              <w:spacing w:before="120" w:after="120" w:line="240" w:lineRule="auto"/>
              <w:ind w:left="227" w:hanging="227"/>
              <w:contextualSpacing/>
              <w:rPr>
                <w:rFonts w:ascii="Tw Cen MT" w:hAnsi="Tw Cen MT"/>
                <w:lang w:val="de-DE"/>
              </w:rPr>
            </w:pPr>
            <w:r w:rsidRPr="00A66B53">
              <w:rPr>
                <w:rFonts w:ascii="Tw Cen MT" w:hAnsi="Tw Cen MT"/>
                <w:lang w:val="de-DE"/>
              </w:rPr>
              <w:t>wenn die Schulleitung sich an den Ergebnissen des Transfers interessiert zeigt, zum Beispiel indem sie im Rahmen des MAS Transfergespräche führt</w:t>
            </w:r>
          </w:p>
        </w:tc>
        <w:tc>
          <w:tcPr>
            <w:tcW w:w="3439" w:type="dxa"/>
          </w:tcPr>
          <w:p w:rsidR="00FE4993" w:rsidRPr="003706A7" w:rsidRDefault="00FE4993" w:rsidP="004A35A9">
            <w:pPr>
              <w:spacing w:before="120" w:after="120" w:line="240" w:lineRule="auto"/>
              <w:rPr>
                <w:rFonts w:ascii="Tw Cen MT" w:hAnsi="Tw Cen MT"/>
                <w:lang w:val="de-DE"/>
              </w:rPr>
            </w:pPr>
          </w:p>
        </w:tc>
      </w:tr>
    </w:tbl>
    <w:p w:rsidR="00FE4993" w:rsidRDefault="00FE499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4"/>
        <w:gridCol w:w="3475"/>
        <w:gridCol w:w="3439"/>
      </w:tblGrid>
      <w:tr w:rsidR="00FE4993" w:rsidRPr="003706A7" w:rsidTr="00206CEF">
        <w:trPr>
          <w:cantSplit/>
        </w:trPr>
        <w:tc>
          <w:tcPr>
            <w:tcW w:w="2374" w:type="dxa"/>
            <w:shd w:val="clear" w:color="auto" w:fill="D6EBEE"/>
          </w:tcPr>
          <w:p w:rsidR="00FE4993" w:rsidRPr="004A35A9" w:rsidRDefault="00FE4993" w:rsidP="004A35A9">
            <w:pPr>
              <w:spacing w:before="120" w:after="120" w:line="240" w:lineRule="auto"/>
            </w:pPr>
            <w:r>
              <w:lastRenderedPageBreak/>
              <w:br w:type="page"/>
            </w:r>
            <w:r>
              <w:br w:type="page"/>
            </w:r>
            <w:r w:rsidRPr="008D3F9C">
              <w:rPr>
                <w:rFonts w:ascii="Tw Cen MT" w:hAnsi="Tw Cen MT"/>
                <w:b/>
                <w:lang w:val="de-DE"/>
              </w:rPr>
              <w:t>Evaluation und Reflexion</w:t>
            </w:r>
          </w:p>
        </w:tc>
        <w:tc>
          <w:tcPr>
            <w:tcW w:w="3475" w:type="dxa"/>
          </w:tcPr>
          <w:p w:rsidR="00FE4993" w:rsidRPr="003706A7" w:rsidRDefault="00FE4993" w:rsidP="00C421CF">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alle mit Evaluations- und Feedbackinstrumenten vertraut sind</w:t>
            </w:r>
          </w:p>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Hospitationen, Schüler/innen-Feedback usw. mit Themen der Unterrichtsentwicklung verknüpft sind (und nicht isoliert zur Anwendung kommen)</w:t>
            </w:r>
          </w:p>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es bereits eine Reflexionskultur gibt, also das Nachdenken über Prozesse und Ergebnisse zwecks Verstehen wiederholt zur Anwendung kommt</w:t>
            </w:r>
          </w:p>
        </w:tc>
        <w:tc>
          <w:tcPr>
            <w:tcW w:w="3439" w:type="dxa"/>
          </w:tcPr>
          <w:p w:rsidR="00FE4993" w:rsidRPr="003706A7" w:rsidRDefault="00FE4993" w:rsidP="004A35A9">
            <w:pPr>
              <w:spacing w:before="120" w:after="120" w:line="240" w:lineRule="auto"/>
              <w:rPr>
                <w:rFonts w:ascii="Tw Cen MT" w:hAnsi="Tw Cen MT"/>
                <w:lang w:val="de-DE"/>
              </w:rPr>
            </w:pPr>
          </w:p>
        </w:tc>
      </w:tr>
      <w:tr w:rsidR="00FE4993" w:rsidRPr="003706A7" w:rsidTr="00206CEF">
        <w:trPr>
          <w:cantSplit/>
        </w:trPr>
        <w:tc>
          <w:tcPr>
            <w:tcW w:w="2374" w:type="dxa"/>
            <w:shd w:val="clear" w:color="auto" w:fill="D6EBEE"/>
          </w:tcPr>
          <w:p w:rsidR="00FE4993" w:rsidRPr="003706A7" w:rsidRDefault="00FE4993" w:rsidP="004A35A9">
            <w:pPr>
              <w:spacing w:before="120" w:after="120" w:line="240" w:lineRule="auto"/>
              <w:rPr>
                <w:rFonts w:ascii="Tw Cen MT" w:hAnsi="Tw Cen MT"/>
                <w:lang w:val="de-DE"/>
              </w:rPr>
            </w:pPr>
            <w:r w:rsidRPr="003706A7">
              <w:rPr>
                <w:rFonts w:ascii="Tw Cen MT" w:hAnsi="Tw Cen MT"/>
                <w:lang w:val="de-DE"/>
              </w:rPr>
              <w:t xml:space="preserve">Support 1: </w:t>
            </w:r>
            <w:r w:rsidRPr="008D3F9C">
              <w:rPr>
                <w:rFonts w:ascii="Tw Cen MT" w:hAnsi="Tw Cen MT"/>
                <w:b/>
                <w:lang w:val="de-DE"/>
              </w:rPr>
              <w:t>Team-Kultur</w:t>
            </w:r>
          </w:p>
        </w:tc>
        <w:tc>
          <w:tcPr>
            <w:tcW w:w="3475" w:type="dxa"/>
          </w:tcPr>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dem reziproken Lernen unter Kolleginnen und Kollegen eine hohe Bedeutung zukommt</w:t>
            </w:r>
          </w:p>
          <w:p w:rsidR="00A66B53" w:rsidRPr="00A66B53" w:rsidRDefault="00A66B53" w:rsidP="00A66B53">
            <w:pPr>
              <w:numPr>
                <w:ilvl w:val="0"/>
                <w:numId w:val="6"/>
              </w:numPr>
              <w:spacing w:before="120" w:after="120" w:line="240" w:lineRule="auto"/>
              <w:ind w:left="227" w:hanging="227"/>
              <w:contextualSpacing/>
              <w:rPr>
                <w:rFonts w:ascii="Tw Cen MT" w:hAnsi="Tw Cen MT"/>
                <w:lang w:val="de-DE"/>
              </w:rPr>
            </w:pPr>
            <w:r w:rsidRPr="00A66B53">
              <w:rPr>
                <w:rFonts w:ascii="Tw Cen MT" w:hAnsi="Tw Cen MT"/>
                <w:lang w:val="de-DE"/>
              </w:rPr>
              <w:t>wenn Weiterbildungen gemeinsame systematisch geplant, teilweise gemeinsam besucht und ausgewertet werden</w:t>
            </w:r>
          </w:p>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bookmarkStart w:id="0" w:name="_GoBack"/>
            <w:bookmarkEnd w:id="0"/>
            <w:r w:rsidRPr="003706A7">
              <w:rPr>
                <w:rFonts w:ascii="Tw Cen MT" w:hAnsi="Tw Cen MT"/>
                <w:lang w:val="de-DE"/>
              </w:rPr>
              <w:t>wenn die Unterrichtsentwicklung gemeinsam erfolgt: von der Planung, Umsetzung bis hin zur Evaluation und Reflexion</w:t>
            </w:r>
          </w:p>
          <w:p w:rsidR="00FE4993" w:rsidRPr="003706A7" w:rsidRDefault="00FE4993" w:rsidP="00C421CF">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 xml:space="preserve">wenn das Lernen in und für Teams eine hohe Priorität hat </w:t>
            </w:r>
          </w:p>
        </w:tc>
        <w:tc>
          <w:tcPr>
            <w:tcW w:w="3439" w:type="dxa"/>
          </w:tcPr>
          <w:p w:rsidR="00FE4993" w:rsidRPr="003706A7" w:rsidRDefault="00FE4993" w:rsidP="004A35A9">
            <w:pPr>
              <w:spacing w:before="120" w:after="120" w:line="240" w:lineRule="auto"/>
              <w:rPr>
                <w:rFonts w:ascii="Tw Cen MT" w:hAnsi="Tw Cen MT"/>
                <w:lang w:val="de-DE"/>
              </w:rPr>
            </w:pPr>
          </w:p>
        </w:tc>
      </w:tr>
      <w:tr w:rsidR="00FE4993" w:rsidRPr="003706A7" w:rsidTr="00206CEF">
        <w:trPr>
          <w:cantSplit/>
        </w:trPr>
        <w:tc>
          <w:tcPr>
            <w:tcW w:w="2374" w:type="dxa"/>
            <w:shd w:val="clear" w:color="auto" w:fill="D6EBEE"/>
          </w:tcPr>
          <w:p w:rsidR="00FE4993" w:rsidRPr="003706A7" w:rsidRDefault="00FE4993" w:rsidP="004A35A9">
            <w:pPr>
              <w:spacing w:before="120" w:after="120" w:line="240" w:lineRule="auto"/>
              <w:rPr>
                <w:rFonts w:ascii="Tw Cen MT" w:hAnsi="Tw Cen MT"/>
                <w:lang w:val="de-DE"/>
              </w:rPr>
            </w:pPr>
            <w:r w:rsidRPr="003706A7">
              <w:rPr>
                <w:rFonts w:ascii="Tw Cen MT" w:hAnsi="Tw Cen MT"/>
                <w:lang w:val="de-DE"/>
              </w:rPr>
              <w:t xml:space="preserve">Support 2: </w:t>
            </w:r>
            <w:r w:rsidRPr="008D3F9C">
              <w:rPr>
                <w:rFonts w:ascii="Tw Cen MT" w:hAnsi="Tw Cen MT"/>
                <w:b/>
                <w:lang w:val="de-DE"/>
              </w:rPr>
              <w:t>Schul-Kultur</w:t>
            </w:r>
          </w:p>
        </w:tc>
        <w:tc>
          <w:tcPr>
            <w:tcW w:w="3475" w:type="dxa"/>
          </w:tcPr>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es eine Schulkultur gibt, in der Lernen und der Erwerb und die Weitergabe von Wissen und Kompetenzen von allen Mitarbeitenden als wesentliche Verpflichtung aufgefasst wird</w:t>
            </w:r>
          </w:p>
          <w:p w:rsidR="00FE4993" w:rsidRPr="003706A7" w:rsidRDefault="00FE4993" w:rsidP="004A35A9">
            <w:pPr>
              <w:numPr>
                <w:ilvl w:val="0"/>
                <w:numId w:val="6"/>
              </w:numPr>
              <w:spacing w:before="120" w:after="120" w:line="240" w:lineRule="auto"/>
              <w:ind w:left="227" w:hanging="227"/>
              <w:contextualSpacing/>
              <w:rPr>
                <w:rFonts w:ascii="Tw Cen MT" w:hAnsi="Tw Cen MT"/>
                <w:lang w:val="de-DE"/>
              </w:rPr>
            </w:pPr>
            <w:r w:rsidRPr="003706A7">
              <w:rPr>
                <w:rFonts w:ascii="Tw Cen MT" w:hAnsi="Tw Cen MT"/>
                <w:lang w:val="de-DE"/>
              </w:rPr>
              <w:t>wenn die Weiterentwicklung persönlicher Kompetenzen, aber auch der Kolleginnen und Kollegen, insbesondere jedoch des Unterrichts und der Schule als Ganzes als integraler Bestandteil des professionellen Selbstverständnis verstanden wird</w:t>
            </w:r>
          </w:p>
        </w:tc>
        <w:tc>
          <w:tcPr>
            <w:tcW w:w="3439" w:type="dxa"/>
          </w:tcPr>
          <w:p w:rsidR="00FE4993" w:rsidRPr="003706A7" w:rsidRDefault="00FE4993" w:rsidP="004A35A9">
            <w:pPr>
              <w:spacing w:before="120" w:after="120" w:line="240" w:lineRule="auto"/>
              <w:rPr>
                <w:rFonts w:ascii="Tw Cen MT" w:hAnsi="Tw Cen MT"/>
                <w:lang w:val="de-DE"/>
              </w:rPr>
            </w:pPr>
          </w:p>
        </w:tc>
      </w:tr>
      <w:tr w:rsidR="00FE4993" w:rsidRPr="003706A7" w:rsidTr="00206CEF">
        <w:trPr>
          <w:cantSplit/>
        </w:trPr>
        <w:tc>
          <w:tcPr>
            <w:tcW w:w="2374" w:type="dxa"/>
            <w:shd w:val="clear" w:color="auto" w:fill="D6EBEE"/>
          </w:tcPr>
          <w:p w:rsidR="00FE4993" w:rsidRPr="003706A7" w:rsidRDefault="00FE4993" w:rsidP="004A35A9">
            <w:pPr>
              <w:spacing w:before="120" w:after="120" w:line="240" w:lineRule="auto"/>
              <w:rPr>
                <w:rFonts w:ascii="Tw Cen MT" w:hAnsi="Tw Cen MT"/>
                <w:lang w:val="de-DE"/>
              </w:rPr>
            </w:pPr>
            <w:r w:rsidRPr="003706A7">
              <w:rPr>
                <w:rFonts w:ascii="Tw Cen MT" w:hAnsi="Tw Cen MT"/>
                <w:lang w:val="de-DE"/>
              </w:rPr>
              <w:t>Und ausserdem …</w:t>
            </w:r>
          </w:p>
        </w:tc>
        <w:tc>
          <w:tcPr>
            <w:tcW w:w="3475" w:type="dxa"/>
          </w:tcPr>
          <w:p w:rsidR="00FE4993" w:rsidRDefault="00FE4993" w:rsidP="004A35A9">
            <w:pPr>
              <w:spacing w:before="120" w:after="120" w:line="240" w:lineRule="auto"/>
              <w:rPr>
                <w:rFonts w:ascii="Tw Cen MT" w:hAnsi="Tw Cen MT"/>
                <w:lang w:val="de-DE"/>
              </w:rPr>
            </w:pPr>
          </w:p>
          <w:p w:rsidR="00FE4993" w:rsidRPr="003706A7" w:rsidRDefault="00FE4993" w:rsidP="004A35A9">
            <w:pPr>
              <w:spacing w:before="120" w:after="120" w:line="240" w:lineRule="auto"/>
              <w:rPr>
                <w:rFonts w:ascii="Tw Cen MT" w:hAnsi="Tw Cen MT"/>
                <w:lang w:val="de-DE"/>
              </w:rPr>
            </w:pPr>
          </w:p>
        </w:tc>
        <w:tc>
          <w:tcPr>
            <w:tcW w:w="3439" w:type="dxa"/>
          </w:tcPr>
          <w:p w:rsidR="00FE4993" w:rsidRPr="003706A7" w:rsidRDefault="00FE4993" w:rsidP="004A35A9">
            <w:pPr>
              <w:spacing w:before="120" w:after="120" w:line="240" w:lineRule="auto"/>
              <w:rPr>
                <w:rFonts w:ascii="Tw Cen MT" w:hAnsi="Tw Cen MT"/>
                <w:lang w:val="de-DE"/>
              </w:rPr>
            </w:pPr>
          </w:p>
        </w:tc>
      </w:tr>
    </w:tbl>
    <w:p w:rsidR="00FE4993" w:rsidRPr="003706A7" w:rsidRDefault="00FE4993" w:rsidP="00925B4A">
      <w:pPr>
        <w:pStyle w:val="Ninaberschrift2"/>
        <w:rPr>
          <w:rFonts w:ascii="Tw Cen MT" w:hAnsi="Tw Cen MT" w:cs="Arial"/>
          <w:b w:val="0"/>
          <w:sz w:val="22"/>
          <w:szCs w:val="22"/>
          <w:lang w:val="de-DE"/>
        </w:rPr>
      </w:pPr>
    </w:p>
    <w:p w:rsidR="00FE4993" w:rsidRDefault="00FE4993" w:rsidP="003706A7">
      <w:pPr>
        <w:spacing w:after="0" w:line="240" w:lineRule="auto"/>
        <w:rPr>
          <w:rFonts w:ascii="Tw Cen MT" w:hAnsi="Tw Cen MT"/>
        </w:rPr>
      </w:pPr>
    </w:p>
    <w:p w:rsidR="00FE4993" w:rsidRPr="003706A7" w:rsidRDefault="00FE4993" w:rsidP="003706A7">
      <w:pPr>
        <w:spacing w:after="0" w:line="240" w:lineRule="auto"/>
        <w:rPr>
          <w:rFonts w:ascii="Tw Cen MT" w:hAnsi="Tw Cen MT"/>
        </w:rPr>
      </w:pPr>
      <w:r w:rsidRPr="003706A7">
        <w:rPr>
          <w:rFonts w:ascii="Tw Cen MT" w:hAnsi="Tw Cen MT"/>
        </w:rPr>
        <w:t>Martin Riesen</w:t>
      </w:r>
    </w:p>
    <w:p w:rsidR="00FE4993" w:rsidRPr="003706A7" w:rsidRDefault="00FE4993">
      <w:pPr>
        <w:rPr>
          <w:rFonts w:cs="Arial"/>
          <w:b/>
        </w:rPr>
      </w:pPr>
    </w:p>
    <w:sectPr w:rsidR="00FE4993" w:rsidRPr="003706A7" w:rsidSect="007B6F32">
      <w:headerReference w:type="default" r:id="rId10"/>
      <w:footerReference w:type="default" r:id="rId11"/>
      <w:pgSz w:w="11906" w:h="16838"/>
      <w:pgMar w:top="1417" w:right="1417" w:bottom="1079" w:left="1417" w:header="708" w:footer="5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770" w:rsidRDefault="00D32770" w:rsidP="001C7134">
      <w:pPr>
        <w:spacing w:after="0" w:line="240" w:lineRule="auto"/>
      </w:pPr>
      <w:r>
        <w:separator/>
      </w:r>
    </w:p>
  </w:endnote>
  <w:endnote w:type="continuationSeparator" w:id="0">
    <w:p w:rsidR="00D32770" w:rsidRDefault="00D32770" w:rsidP="001C7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65 Bold">
    <w:panose1 w:val="020B0803030504020204"/>
    <w:charset w:val="00"/>
    <w:family w:val="swiss"/>
    <w:pitch w:val="variable"/>
    <w:sig w:usb0="80000027"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93" w:rsidRPr="001C7134" w:rsidRDefault="00FE4993">
    <w:pPr>
      <w:pStyle w:val="Fuzeile"/>
      <w:jc w:val="right"/>
      <w:rPr>
        <w:rFonts w:ascii="Tw Cen MT" w:hAnsi="Tw Cen MT"/>
      </w:rPr>
    </w:pPr>
  </w:p>
  <w:p w:rsidR="00FE4993" w:rsidRPr="00FD19A5" w:rsidRDefault="00FE4993" w:rsidP="00FD19A5">
    <w:pPr>
      <w:tabs>
        <w:tab w:val="center" w:pos="4536"/>
        <w:tab w:val="right" w:pos="9072"/>
      </w:tabs>
      <w:spacing w:after="0" w:line="240" w:lineRule="auto"/>
      <w:jc w:val="right"/>
      <w:rPr>
        <w:rFonts w:ascii="Tw Cen MT" w:hAnsi="Tw Cen MT"/>
      </w:rPr>
    </w:pPr>
    <w:r w:rsidRPr="00FD19A5">
      <w:rPr>
        <w:rFonts w:ascii="Tw Cen MT" w:hAnsi="Tw Cen MT"/>
      </w:rPr>
      <w:t>Pädagogische Hochschule Zentralschweiz,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770" w:rsidRDefault="00D32770" w:rsidP="001C7134">
      <w:pPr>
        <w:spacing w:after="0" w:line="240" w:lineRule="auto"/>
      </w:pPr>
      <w:r>
        <w:separator/>
      </w:r>
    </w:p>
  </w:footnote>
  <w:footnote w:type="continuationSeparator" w:id="0">
    <w:p w:rsidR="00D32770" w:rsidRDefault="00D32770" w:rsidP="001C7134">
      <w:pPr>
        <w:spacing w:after="0" w:line="240" w:lineRule="auto"/>
      </w:pPr>
      <w:r>
        <w:continuationSeparator/>
      </w:r>
    </w:p>
  </w:footnote>
  <w:footnote w:id="1">
    <w:p w:rsidR="00FE4993" w:rsidRDefault="00FE4993" w:rsidP="0001665F">
      <w:pPr>
        <w:pStyle w:val="Funotentext"/>
        <w:spacing w:after="120" w:line="271" w:lineRule="auto"/>
      </w:pPr>
      <w:r w:rsidRPr="00926B17">
        <w:rPr>
          <w:rStyle w:val="Funotenzeichen"/>
          <w:sz w:val="18"/>
          <w:szCs w:val="18"/>
        </w:rPr>
        <w:footnoteRef/>
      </w:r>
      <w:r w:rsidRPr="00926B17">
        <w:rPr>
          <w:sz w:val="18"/>
          <w:szCs w:val="18"/>
          <w:lang w:val="de-DE"/>
        </w:rPr>
        <w:t xml:space="preserve"> </w:t>
      </w:r>
      <w:r w:rsidRPr="00926B17">
        <w:rPr>
          <w:rFonts w:ascii="Tw Cen MT" w:hAnsi="Tw Cen MT"/>
          <w:sz w:val="18"/>
          <w:szCs w:val="18"/>
          <w:lang w:val="de-DE"/>
        </w:rPr>
        <w:t>Stolpersteine sind in der Regel Gelingensbedingungen, die nicht beachtet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93" w:rsidRDefault="00D32770">
    <w:pPr>
      <w:pStyle w:val="Kopfzeile"/>
    </w:pPr>
    <w:r>
      <w:rPr>
        <w:noProof/>
        <w:lang w:eastAsia="en-US"/>
      </w:rPr>
      <w:pict>
        <v:shapetype id="_x0000_t202" coordsize="21600,21600" o:spt="202" path="m,l,21600r21600,l21600,xe">
          <v:stroke joinstyle="miter"/>
          <v:path gradientshapeok="t" o:connecttype="rect"/>
        </v:shapetype>
        <v:shape id="Textfeld 473" o:spid="_x0000_s2049" type="#_x0000_t202" style="position:absolute;margin-left:0;margin-top:28.7pt;width:453.6pt;height:13.45pt;z-index:2;visibility:visible;mso-position-horizontal:left;mso-position-horizontal-relative:margin;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HC4d8q0CAACfBQAADgAAAAAAAAAA&#10;AAAAAAAuAgAAZHJzL2Uyb0RvYy54bWxQSwECLQAUAAYACAAAACEAXMz1P9sAAAAEAQAADwAAAAAA&#10;AAAAAAAAAAAHBQAAZHJzL2Rvd25yZXYueG1sUEsFBgAAAAAEAAQA8wAAAA8GAAAAAA==&#10;" o:allowincell="f" filled="f" stroked="f">
          <v:textbox style="mso-fit-shape-to-text:t" inset=",0,,0">
            <w:txbxContent>
              <w:p w:rsidR="00FE4993" w:rsidRDefault="00FE4993">
                <w:pPr>
                  <w:spacing w:after="0" w:line="240" w:lineRule="auto"/>
                </w:pPr>
                <w:r>
                  <w:rPr>
                    <w:rFonts w:ascii="Tw Cen MT" w:hAnsi="Tw Cen MT"/>
                  </w:rPr>
                  <w:t>Umsetzung</w:t>
                </w:r>
              </w:p>
            </w:txbxContent>
          </v:textbox>
          <w10:wrap anchorx="margin" anchory="margin"/>
        </v:shape>
      </w:pict>
    </w:r>
    <w:r>
      <w:rPr>
        <w:noProof/>
        <w:lang w:eastAsia="en-US"/>
      </w:rPr>
      <w:pict>
        <v:shape id="Textfeld 474" o:spid="_x0000_s2050" type="#_x0000_t202" style="position:absolute;margin-left:0;margin-top:28.7pt;width:70.85pt;height:13.45pt;z-index:1;visibility:visible;mso-position-horizontal:left;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" o:allowincell="f" fillcolor="#9bcfd5" stroked="f">
          <v:textbox style="mso-fit-shape-to-text:t" inset=",0,,0">
            <w:txbxContent>
              <w:p w:rsidR="00FE4993" w:rsidRPr="000E554F" w:rsidRDefault="00FE4993">
                <w:pPr>
                  <w:spacing w:after="0" w:line="240" w:lineRule="auto"/>
                  <w:jc w:val="right"/>
                  <w:rPr>
                    <w:rFonts w:ascii="Tw Cen MT" w:hAnsi="Tw Cen MT" w:cs="Arial"/>
                    <w:color w:val="FFFFFF"/>
                  </w:rPr>
                </w:pPr>
                <w:r w:rsidRPr="000E554F">
                  <w:rPr>
                    <w:rFonts w:ascii="Tw Cen MT" w:hAnsi="Tw Cen MT" w:cs="Arial"/>
                  </w:rPr>
                  <w:fldChar w:fldCharType="begin"/>
                </w:r>
                <w:r w:rsidRPr="000E554F">
                  <w:rPr>
                    <w:rFonts w:ascii="Tw Cen MT" w:hAnsi="Tw Cen MT" w:cs="Arial"/>
                  </w:rPr>
                  <w:instrText>PAGE   \* MERGEFORMAT</w:instrText>
                </w:r>
                <w:r w:rsidRPr="000E554F">
                  <w:rPr>
                    <w:rFonts w:ascii="Tw Cen MT" w:hAnsi="Tw Cen MT" w:cs="Arial"/>
                  </w:rPr>
                  <w:fldChar w:fldCharType="separate"/>
                </w:r>
                <w:r w:rsidR="00A66B53" w:rsidRPr="00A66B53">
                  <w:rPr>
                    <w:rFonts w:ascii="Tw Cen MT" w:hAnsi="Tw Cen MT" w:cs="Arial"/>
                    <w:noProof/>
                    <w:color w:val="FFFFFF"/>
                    <w:lang w:val="de-DE"/>
                  </w:rPr>
                  <w:t>5</w:t>
                </w:r>
                <w:r w:rsidRPr="000E554F">
                  <w:rPr>
                    <w:rFonts w:ascii="Tw Cen MT" w:hAnsi="Tw Cen MT" w:cs="Arial"/>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5A65"/>
    <w:multiLevelType w:val="hybridMultilevel"/>
    <w:tmpl w:val="4A4A6C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8BD608E"/>
    <w:multiLevelType w:val="hybridMultilevel"/>
    <w:tmpl w:val="06FC41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BC543D2"/>
    <w:multiLevelType w:val="hybridMultilevel"/>
    <w:tmpl w:val="1F9028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1B62153"/>
    <w:multiLevelType w:val="multilevel"/>
    <w:tmpl w:val="403A5B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7472055"/>
    <w:multiLevelType w:val="hybridMultilevel"/>
    <w:tmpl w:val="44306B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BD9022D"/>
    <w:multiLevelType w:val="hybridMultilevel"/>
    <w:tmpl w:val="4022D56C"/>
    <w:lvl w:ilvl="0" w:tplc="08070001">
      <w:start w:val="1"/>
      <w:numFmt w:val="bullet"/>
      <w:lvlText w:val=""/>
      <w:lvlJc w:val="left"/>
      <w:pPr>
        <w:ind w:left="502"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53B76AA4"/>
    <w:multiLevelType w:val="hybridMultilevel"/>
    <w:tmpl w:val="DEDC4A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093417B"/>
    <w:multiLevelType w:val="hybridMultilevel"/>
    <w:tmpl w:val="91A4CE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63B42EE1"/>
    <w:multiLevelType w:val="hybridMultilevel"/>
    <w:tmpl w:val="4D1CBAF6"/>
    <w:lvl w:ilvl="0" w:tplc="0407000F">
      <w:start w:val="1"/>
      <w:numFmt w:val="decimal"/>
      <w:lvlText w:val="%1."/>
      <w:lvlJc w:val="left"/>
      <w:pPr>
        <w:tabs>
          <w:tab w:val="num" w:pos="780"/>
        </w:tabs>
        <w:ind w:left="780" w:hanging="360"/>
      </w:pPr>
      <w:rPr>
        <w:rFonts w:cs="Times New Roman"/>
      </w:rPr>
    </w:lvl>
    <w:lvl w:ilvl="1" w:tplc="04070019" w:tentative="1">
      <w:start w:val="1"/>
      <w:numFmt w:val="lowerLetter"/>
      <w:lvlText w:val="%2."/>
      <w:lvlJc w:val="left"/>
      <w:pPr>
        <w:tabs>
          <w:tab w:val="num" w:pos="1500"/>
        </w:tabs>
        <w:ind w:left="1500" w:hanging="360"/>
      </w:pPr>
      <w:rPr>
        <w:rFonts w:cs="Times New Roman"/>
      </w:rPr>
    </w:lvl>
    <w:lvl w:ilvl="2" w:tplc="0407001B" w:tentative="1">
      <w:start w:val="1"/>
      <w:numFmt w:val="lowerRoman"/>
      <w:lvlText w:val="%3."/>
      <w:lvlJc w:val="right"/>
      <w:pPr>
        <w:tabs>
          <w:tab w:val="num" w:pos="2220"/>
        </w:tabs>
        <w:ind w:left="2220" w:hanging="180"/>
      </w:pPr>
      <w:rPr>
        <w:rFonts w:cs="Times New Roman"/>
      </w:rPr>
    </w:lvl>
    <w:lvl w:ilvl="3" w:tplc="0407000F" w:tentative="1">
      <w:start w:val="1"/>
      <w:numFmt w:val="decimal"/>
      <w:lvlText w:val="%4."/>
      <w:lvlJc w:val="left"/>
      <w:pPr>
        <w:tabs>
          <w:tab w:val="num" w:pos="2940"/>
        </w:tabs>
        <w:ind w:left="2940" w:hanging="360"/>
      </w:pPr>
      <w:rPr>
        <w:rFonts w:cs="Times New Roman"/>
      </w:rPr>
    </w:lvl>
    <w:lvl w:ilvl="4" w:tplc="04070019" w:tentative="1">
      <w:start w:val="1"/>
      <w:numFmt w:val="lowerLetter"/>
      <w:lvlText w:val="%5."/>
      <w:lvlJc w:val="left"/>
      <w:pPr>
        <w:tabs>
          <w:tab w:val="num" w:pos="3660"/>
        </w:tabs>
        <w:ind w:left="3660" w:hanging="360"/>
      </w:pPr>
      <w:rPr>
        <w:rFonts w:cs="Times New Roman"/>
      </w:rPr>
    </w:lvl>
    <w:lvl w:ilvl="5" w:tplc="0407001B" w:tentative="1">
      <w:start w:val="1"/>
      <w:numFmt w:val="lowerRoman"/>
      <w:lvlText w:val="%6."/>
      <w:lvlJc w:val="right"/>
      <w:pPr>
        <w:tabs>
          <w:tab w:val="num" w:pos="4380"/>
        </w:tabs>
        <w:ind w:left="4380" w:hanging="180"/>
      </w:pPr>
      <w:rPr>
        <w:rFonts w:cs="Times New Roman"/>
      </w:rPr>
    </w:lvl>
    <w:lvl w:ilvl="6" w:tplc="0407000F" w:tentative="1">
      <w:start w:val="1"/>
      <w:numFmt w:val="decimal"/>
      <w:lvlText w:val="%7."/>
      <w:lvlJc w:val="left"/>
      <w:pPr>
        <w:tabs>
          <w:tab w:val="num" w:pos="5100"/>
        </w:tabs>
        <w:ind w:left="5100" w:hanging="360"/>
      </w:pPr>
      <w:rPr>
        <w:rFonts w:cs="Times New Roman"/>
      </w:rPr>
    </w:lvl>
    <w:lvl w:ilvl="7" w:tplc="04070019" w:tentative="1">
      <w:start w:val="1"/>
      <w:numFmt w:val="lowerLetter"/>
      <w:lvlText w:val="%8."/>
      <w:lvlJc w:val="left"/>
      <w:pPr>
        <w:tabs>
          <w:tab w:val="num" w:pos="5820"/>
        </w:tabs>
        <w:ind w:left="5820" w:hanging="360"/>
      </w:pPr>
      <w:rPr>
        <w:rFonts w:cs="Times New Roman"/>
      </w:rPr>
    </w:lvl>
    <w:lvl w:ilvl="8" w:tplc="0407001B" w:tentative="1">
      <w:start w:val="1"/>
      <w:numFmt w:val="lowerRoman"/>
      <w:lvlText w:val="%9."/>
      <w:lvlJc w:val="right"/>
      <w:pPr>
        <w:tabs>
          <w:tab w:val="num" w:pos="6540"/>
        </w:tabs>
        <w:ind w:left="6540" w:hanging="180"/>
      </w:pPr>
      <w:rPr>
        <w:rFonts w:cs="Times New Roman"/>
      </w:rPr>
    </w:lvl>
  </w:abstractNum>
  <w:abstractNum w:abstractNumId="9">
    <w:nsid w:val="6CC623BA"/>
    <w:multiLevelType w:val="multilevel"/>
    <w:tmpl w:val="7D8E2D62"/>
    <w:lvl w:ilvl="0">
      <w:start w:val="3"/>
      <w:numFmt w:val="decimal"/>
      <w:lvlText w:val="%1."/>
      <w:lvlJc w:val="left"/>
      <w:pPr>
        <w:ind w:left="720" w:hanging="360"/>
      </w:pPr>
      <w:rPr>
        <w:rFonts w:cs="Times New Roman" w:hint="default"/>
        <w:b/>
        <w:i w:val="0"/>
      </w:rPr>
    </w:lvl>
    <w:lvl w:ilvl="1">
      <w:start w:val="1"/>
      <w:numFmt w:val="decimal"/>
      <w:isLgl/>
      <w:lvlText w:val="%1.%2"/>
      <w:lvlJc w:val="left"/>
      <w:pPr>
        <w:ind w:left="1080" w:hanging="360"/>
      </w:pPr>
      <w:rPr>
        <w:rFonts w:ascii="Frutiger LT 65 Bold" w:hAnsi="Frutiger LT 65 Bold"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0">
    <w:nsid w:val="71407ED6"/>
    <w:multiLevelType w:val="hybridMultilevel"/>
    <w:tmpl w:val="69E6FE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78C55EF1"/>
    <w:multiLevelType w:val="hybridMultilevel"/>
    <w:tmpl w:val="BE22D842"/>
    <w:lvl w:ilvl="0" w:tplc="0407000F">
      <w:start w:val="1"/>
      <w:numFmt w:val="decimal"/>
      <w:lvlText w:val="%1."/>
      <w:lvlJc w:val="left"/>
      <w:pPr>
        <w:tabs>
          <w:tab w:val="num" w:pos="720"/>
        </w:tabs>
        <w:ind w:left="720" w:hanging="360"/>
      </w:pPr>
      <w:rPr>
        <w:rFonts w:cs="Times New Roman"/>
      </w:rPr>
    </w:lvl>
    <w:lvl w:ilvl="1" w:tplc="AF30467C">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9"/>
  </w:num>
  <w:num w:numId="3">
    <w:abstractNumId w:val="11"/>
  </w:num>
  <w:num w:numId="4">
    <w:abstractNumId w:val="3"/>
  </w:num>
  <w:num w:numId="5">
    <w:abstractNumId w:val="8"/>
  </w:num>
  <w:num w:numId="6">
    <w:abstractNumId w:val="2"/>
  </w:num>
  <w:num w:numId="7">
    <w:abstractNumId w:val="4"/>
  </w:num>
  <w:num w:numId="8">
    <w:abstractNumId w:val="0"/>
  </w:num>
  <w:num w:numId="9">
    <w:abstractNumId w:val="10"/>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B71"/>
    <w:rsid w:val="00011BE3"/>
    <w:rsid w:val="0001665F"/>
    <w:rsid w:val="00025DE6"/>
    <w:rsid w:val="00036C9C"/>
    <w:rsid w:val="00047E6C"/>
    <w:rsid w:val="00067F48"/>
    <w:rsid w:val="00076D15"/>
    <w:rsid w:val="0009197C"/>
    <w:rsid w:val="000B095F"/>
    <w:rsid w:val="000D5C5A"/>
    <w:rsid w:val="000E554F"/>
    <w:rsid w:val="001100CB"/>
    <w:rsid w:val="001517F8"/>
    <w:rsid w:val="001B1DB1"/>
    <w:rsid w:val="001B3120"/>
    <w:rsid w:val="001B54A7"/>
    <w:rsid w:val="001C7134"/>
    <w:rsid w:val="001D3F00"/>
    <w:rsid w:val="001D6F73"/>
    <w:rsid w:val="001E63CD"/>
    <w:rsid w:val="001F50A9"/>
    <w:rsid w:val="001F6CAB"/>
    <w:rsid w:val="00206CEF"/>
    <w:rsid w:val="002076F9"/>
    <w:rsid w:val="00236DFA"/>
    <w:rsid w:val="002724FB"/>
    <w:rsid w:val="002A3ECE"/>
    <w:rsid w:val="002D10FD"/>
    <w:rsid w:val="002F1BB8"/>
    <w:rsid w:val="0030405C"/>
    <w:rsid w:val="003074A3"/>
    <w:rsid w:val="00350ED5"/>
    <w:rsid w:val="0036243D"/>
    <w:rsid w:val="003706A7"/>
    <w:rsid w:val="00382294"/>
    <w:rsid w:val="003C4316"/>
    <w:rsid w:val="003C7BDB"/>
    <w:rsid w:val="003D6EFC"/>
    <w:rsid w:val="00431591"/>
    <w:rsid w:val="00431A79"/>
    <w:rsid w:val="004342C8"/>
    <w:rsid w:val="00436C8D"/>
    <w:rsid w:val="00447032"/>
    <w:rsid w:val="004938DF"/>
    <w:rsid w:val="004A35A9"/>
    <w:rsid w:val="00513FD9"/>
    <w:rsid w:val="00546A9C"/>
    <w:rsid w:val="005A5222"/>
    <w:rsid w:val="005F5F83"/>
    <w:rsid w:val="0064729E"/>
    <w:rsid w:val="006A7829"/>
    <w:rsid w:val="006E2037"/>
    <w:rsid w:val="00740D6E"/>
    <w:rsid w:val="00783186"/>
    <w:rsid w:val="007B4133"/>
    <w:rsid w:val="007B6F32"/>
    <w:rsid w:val="008223E4"/>
    <w:rsid w:val="008401C8"/>
    <w:rsid w:val="00853A54"/>
    <w:rsid w:val="00854A0F"/>
    <w:rsid w:val="00870018"/>
    <w:rsid w:val="008A5F42"/>
    <w:rsid w:val="008D3F9C"/>
    <w:rsid w:val="00910A5E"/>
    <w:rsid w:val="0092111D"/>
    <w:rsid w:val="00925B4A"/>
    <w:rsid w:val="00926B17"/>
    <w:rsid w:val="00930F17"/>
    <w:rsid w:val="009336B7"/>
    <w:rsid w:val="009501FB"/>
    <w:rsid w:val="00951DBF"/>
    <w:rsid w:val="00961941"/>
    <w:rsid w:val="00981FF4"/>
    <w:rsid w:val="009D118E"/>
    <w:rsid w:val="00A34E46"/>
    <w:rsid w:val="00A54F67"/>
    <w:rsid w:val="00A62823"/>
    <w:rsid w:val="00A66B53"/>
    <w:rsid w:val="00A956B6"/>
    <w:rsid w:val="00AB045C"/>
    <w:rsid w:val="00AB24CB"/>
    <w:rsid w:val="00AD7B71"/>
    <w:rsid w:val="00AD7BE7"/>
    <w:rsid w:val="00B00DC1"/>
    <w:rsid w:val="00B44A64"/>
    <w:rsid w:val="00B67F51"/>
    <w:rsid w:val="00C17AC9"/>
    <w:rsid w:val="00C421CF"/>
    <w:rsid w:val="00C63453"/>
    <w:rsid w:val="00CC3368"/>
    <w:rsid w:val="00CE6790"/>
    <w:rsid w:val="00D06F92"/>
    <w:rsid w:val="00D32770"/>
    <w:rsid w:val="00D34719"/>
    <w:rsid w:val="00D66730"/>
    <w:rsid w:val="00DA5FDC"/>
    <w:rsid w:val="00DB101E"/>
    <w:rsid w:val="00E24122"/>
    <w:rsid w:val="00E46D31"/>
    <w:rsid w:val="00E47D17"/>
    <w:rsid w:val="00ED2C77"/>
    <w:rsid w:val="00F103CC"/>
    <w:rsid w:val="00F93112"/>
    <w:rsid w:val="00F96709"/>
    <w:rsid w:val="00FD15A7"/>
    <w:rsid w:val="00FD19A5"/>
    <w:rsid w:val="00FE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Tw Cen MT" w:hAnsi="Tw Cen MT" w:cs="Times New Roman"/>
        <w:lang w:val="de-CH" w:eastAsia="de-CH"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Standard">
    <w:name w:val="Normal"/>
    <w:qFormat/>
    <w:rsid w:val="00A34E46"/>
    <w:pPr>
      <w:spacing w:after="200" w:line="276" w:lineRule="auto"/>
    </w:pPr>
    <w:rPr>
      <w:rFonts w:ascii="Arial" w:hAnsi="Arial"/>
      <w:sz w:val="22"/>
      <w:szCs w:val="22"/>
      <w:lang w:eastAsia="en-US"/>
    </w:rPr>
  </w:style>
  <w:style w:type="paragraph" w:styleId="berschrift1">
    <w:name w:val="heading 1"/>
    <w:basedOn w:val="Standard"/>
    <w:next w:val="Standard"/>
    <w:link w:val="berschrift1Zchn"/>
    <w:uiPriority w:val="99"/>
    <w:qFormat/>
    <w:rsid w:val="00A34E46"/>
    <w:pPr>
      <w:spacing w:before="480" w:after="0"/>
      <w:contextualSpacing/>
      <w:outlineLvl w:val="0"/>
    </w:pPr>
    <w:rPr>
      <w:rFonts w:ascii="Tw Cen MT" w:hAnsi="Tw Cen MT"/>
      <w:smallCaps/>
      <w:spacing w:val="5"/>
      <w:sz w:val="36"/>
      <w:szCs w:val="20"/>
      <w:lang w:val="en-US" w:eastAsia="de-DE"/>
    </w:rPr>
  </w:style>
  <w:style w:type="paragraph" w:styleId="berschrift2">
    <w:name w:val="heading 2"/>
    <w:basedOn w:val="Standard"/>
    <w:next w:val="Standard"/>
    <w:link w:val="berschrift2Zchn"/>
    <w:uiPriority w:val="99"/>
    <w:qFormat/>
    <w:rsid w:val="00A34E46"/>
    <w:pPr>
      <w:spacing w:before="200" w:after="0" w:line="271" w:lineRule="auto"/>
      <w:outlineLvl w:val="1"/>
    </w:pPr>
    <w:rPr>
      <w:rFonts w:ascii="Tw Cen MT" w:hAnsi="Tw Cen MT"/>
      <w:smallCaps/>
      <w:sz w:val="28"/>
      <w:szCs w:val="20"/>
      <w:lang w:val="en-US" w:eastAsia="de-DE"/>
    </w:rPr>
  </w:style>
  <w:style w:type="paragraph" w:styleId="berschrift3">
    <w:name w:val="heading 3"/>
    <w:basedOn w:val="Standard"/>
    <w:next w:val="Standard"/>
    <w:link w:val="berschrift3Zchn"/>
    <w:uiPriority w:val="99"/>
    <w:qFormat/>
    <w:rsid w:val="00A34E46"/>
    <w:pPr>
      <w:spacing w:before="200" w:after="0" w:line="271" w:lineRule="auto"/>
      <w:outlineLvl w:val="2"/>
    </w:pPr>
    <w:rPr>
      <w:rFonts w:ascii="Tw Cen MT" w:hAnsi="Tw Cen MT"/>
      <w:i/>
      <w:smallCaps/>
      <w:spacing w:val="5"/>
      <w:sz w:val="26"/>
      <w:szCs w:val="20"/>
      <w:lang w:val="en-US" w:eastAsia="de-DE"/>
    </w:rPr>
  </w:style>
  <w:style w:type="paragraph" w:styleId="berschrift4">
    <w:name w:val="heading 4"/>
    <w:basedOn w:val="Standard"/>
    <w:next w:val="Standard"/>
    <w:link w:val="berschrift4Zchn"/>
    <w:uiPriority w:val="99"/>
    <w:qFormat/>
    <w:rsid w:val="00A34E46"/>
    <w:pPr>
      <w:spacing w:after="0" w:line="271" w:lineRule="auto"/>
      <w:outlineLvl w:val="3"/>
    </w:pPr>
    <w:rPr>
      <w:rFonts w:ascii="Tw Cen MT" w:hAnsi="Tw Cen MT"/>
      <w:b/>
      <w:spacing w:val="5"/>
      <w:sz w:val="24"/>
      <w:szCs w:val="20"/>
      <w:lang w:val="en-US" w:eastAsia="de-DE"/>
    </w:rPr>
  </w:style>
  <w:style w:type="paragraph" w:styleId="berschrift5">
    <w:name w:val="heading 5"/>
    <w:basedOn w:val="Standard"/>
    <w:next w:val="Standard"/>
    <w:link w:val="berschrift5Zchn"/>
    <w:uiPriority w:val="99"/>
    <w:qFormat/>
    <w:rsid w:val="00A34E46"/>
    <w:pPr>
      <w:spacing w:after="0" w:line="271" w:lineRule="auto"/>
      <w:outlineLvl w:val="4"/>
    </w:pPr>
    <w:rPr>
      <w:rFonts w:ascii="Tw Cen MT" w:hAnsi="Tw Cen MT"/>
      <w:i/>
      <w:sz w:val="24"/>
      <w:szCs w:val="20"/>
      <w:lang w:val="en-US" w:eastAsia="de-DE"/>
    </w:rPr>
  </w:style>
  <w:style w:type="paragraph" w:styleId="berschrift6">
    <w:name w:val="heading 6"/>
    <w:basedOn w:val="Standard"/>
    <w:next w:val="Standard"/>
    <w:link w:val="berschrift6Zchn"/>
    <w:uiPriority w:val="99"/>
    <w:qFormat/>
    <w:rsid w:val="00A34E46"/>
    <w:pPr>
      <w:shd w:val="clear" w:color="auto" w:fill="FFFFFF"/>
      <w:spacing w:after="0" w:line="271" w:lineRule="auto"/>
      <w:outlineLvl w:val="5"/>
    </w:pPr>
    <w:rPr>
      <w:rFonts w:ascii="Tw Cen MT" w:hAnsi="Tw Cen MT"/>
      <w:b/>
      <w:color w:val="595959"/>
      <w:spacing w:val="5"/>
      <w:sz w:val="20"/>
      <w:szCs w:val="20"/>
      <w:lang w:val="en-US" w:eastAsia="de-DE"/>
    </w:rPr>
  </w:style>
  <w:style w:type="paragraph" w:styleId="berschrift7">
    <w:name w:val="heading 7"/>
    <w:basedOn w:val="Standard"/>
    <w:next w:val="Standard"/>
    <w:link w:val="berschrift7Zchn"/>
    <w:uiPriority w:val="99"/>
    <w:qFormat/>
    <w:rsid w:val="00A34E46"/>
    <w:pPr>
      <w:spacing w:after="0"/>
      <w:outlineLvl w:val="6"/>
    </w:pPr>
    <w:rPr>
      <w:rFonts w:ascii="Tw Cen MT" w:hAnsi="Tw Cen MT"/>
      <w:b/>
      <w:i/>
      <w:color w:val="5A5A5A"/>
      <w:sz w:val="20"/>
      <w:szCs w:val="20"/>
      <w:lang w:val="en-US" w:eastAsia="de-DE"/>
    </w:rPr>
  </w:style>
  <w:style w:type="paragraph" w:styleId="berschrift8">
    <w:name w:val="heading 8"/>
    <w:basedOn w:val="Standard"/>
    <w:next w:val="Standard"/>
    <w:link w:val="berschrift8Zchn"/>
    <w:uiPriority w:val="99"/>
    <w:qFormat/>
    <w:rsid w:val="00A34E46"/>
    <w:pPr>
      <w:spacing w:after="0"/>
      <w:outlineLvl w:val="7"/>
    </w:pPr>
    <w:rPr>
      <w:rFonts w:ascii="Tw Cen MT" w:hAnsi="Tw Cen MT"/>
      <w:b/>
      <w:color w:val="7F7F7F"/>
      <w:sz w:val="20"/>
      <w:szCs w:val="20"/>
      <w:lang w:val="en-US" w:eastAsia="de-DE"/>
    </w:rPr>
  </w:style>
  <w:style w:type="paragraph" w:styleId="berschrift9">
    <w:name w:val="heading 9"/>
    <w:basedOn w:val="Standard"/>
    <w:next w:val="Standard"/>
    <w:link w:val="berschrift9Zchn"/>
    <w:uiPriority w:val="99"/>
    <w:qFormat/>
    <w:rsid w:val="00A34E46"/>
    <w:pPr>
      <w:spacing w:after="0" w:line="271" w:lineRule="auto"/>
      <w:outlineLvl w:val="8"/>
    </w:pPr>
    <w:rPr>
      <w:rFonts w:ascii="Tw Cen MT" w:hAnsi="Tw Cen MT"/>
      <w:b/>
      <w:i/>
      <w:color w:val="7F7F7F"/>
      <w:sz w:val="18"/>
      <w:szCs w:val="20"/>
      <w:lang w:val="en-US"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A34E46"/>
    <w:rPr>
      <w:rFonts w:cs="Times New Roman"/>
      <w:smallCaps/>
      <w:spacing w:val="5"/>
      <w:sz w:val="36"/>
    </w:rPr>
  </w:style>
  <w:style w:type="character" w:customStyle="1" w:styleId="berschrift2Zchn">
    <w:name w:val="Überschrift 2 Zchn"/>
    <w:link w:val="berschrift2"/>
    <w:uiPriority w:val="99"/>
    <w:semiHidden/>
    <w:locked/>
    <w:rsid w:val="00A34E46"/>
    <w:rPr>
      <w:rFonts w:cs="Times New Roman"/>
      <w:smallCaps/>
      <w:sz w:val="28"/>
    </w:rPr>
  </w:style>
  <w:style w:type="character" w:customStyle="1" w:styleId="berschrift3Zchn">
    <w:name w:val="Überschrift 3 Zchn"/>
    <w:link w:val="berschrift3"/>
    <w:uiPriority w:val="99"/>
    <w:semiHidden/>
    <w:locked/>
    <w:rsid w:val="00A34E46"/>
    <w:rPr>
      <w:rFonts w:cs="Times New Roman"/>
      <w:i/>
      <w:smallCaps/>
      <w:spacing w:val="5"/>
      <w:sz w:val="26"/>
    </w:rPr>
  </w:style>
  <w:style w:type="character" w:customStyle="1" w:styleId="berschrift4Zchn">
    <w:name w:val="Überschrift 4 Zchn"/>
    <w:link w:val="berschrift4"/>
    <w:uiPriority w:val="99"/>
    <w:semiHidden/>
    <w:locked/>
    <w:rsid w:val="00A34E46"/>
    <w:rPr>
      <w:rFonts w:cs="Times New Roman"/>
      <w:b/>
      <w:spacing w:val="5"/>
      <w:sz w:val="24"/>
    </w:rPr>
  </w:style>
  <w:style w:type="character" w:customStyle="1" w:styleId="berschrift5Zchn">
    <w:name w:val="Überschrift 5 Zchn"/>
    <w:link w:val="berschrift5"/>
    <w:uiPriority w:val="99"/>
    <w:semiHidden/>
    <w:locked/>
    <w:rsid w:val="00A34E46"/>
    <w:rPr>
      <w:rFonts w:cs="Times New Roman"/>
      <w:i/>
      <w:sz w:val="24"/>
    </w:rPr>
  </w:style>
  <w:style w:type="character" w:customStyle="1" w:styleId="berschrift6Zchn">
    <w:name w:val="Überschrift 6 Zchn"/>
    <w:link w:val="berschrift6"/>
    <w:uiPriority w:val="99"/>
    <w:semiHidden/>
    <w:locked/>
    <w:rsid w:val="00A34E46"/>
    <w:rPr>
      <w:rFonts w:cs="Times New Roman"/>
      <w:b/>
      <w:color w:val="595959"/>
      <w:spacing w:val="5"/>
      <w:shd w:val="clear" w:color="auto" w:fill="FFFFFF"/>
    </w:rPr>
  </w:style>
  <w:style w:type="character" w:customStyle="1" w:styleId="berschrift7Zchn">
    <w:name w:val="Überschrift 7 Zchn"/>
    <w:link w:val="berschrift7"/>
    <w:uiPriority w:val="99"/>
    <w:semiHidden/>
    <w:locked/>
    <w:rsid w:val="00A34E46"/>
    <w:rPr>
      <w:rFonts w:cs="Times New Roman"/>
      <w:b/>
      <w:i/>
      <w:color w:val="5A5A5A"/>
      <w:sz w:val="20"/>
    </w:rPr>
  </w:style>
  <w:style w:type="character" w:customStyle="1" w:styleId="berschrift8Zchn">
    <w:name w:val="Überschrift 8 Zchn"/>
    <w:link w:val="berschrift8"/>
    <w:uiPriority w:val="99"/>
    <w:semiHidden/>
    <w:locked/>
    <w:rsid w:val="00A34E46"/>
    <w:rPr>
      <w:rFonts w:cs="Times New Roman"/>
      <w:b/>
      <w:color w:val="7F7F7F"/>
      <w:sz w:val="20"/>
    </w:rPr>
  </w:style>
  <w:style w:type="character" w:customStyle="1" w:styleId="berschrift9Zchn">
    <w:name w:val="Überschrift 9 Zchn"/>
    <w:link w:val="berschrift9"/>
    <w:uiPriority w:val="99"/>
    <w:semiHidden/>
    <w:locked/>
    <w:rsid w:val="00A34E46"/>
    <w:rPr>
      <w:rFonts w:cs="Times New Roman"/>
      <w:b/>
      <w:i/>
      <w:color w:val="7F7F7F"/>
      <w:sz w:val="18"/>
    </w:rPr>
  </w:style>
  <w:style w:type="paragraph" w:styleId="Titel">
    <w:name w:val="Title"/>
    <w:basedOn w:val="Standard"/>
    <w:next w:val="Standard"/>
    <w:link w:val="TitelZchn"/>
    <w:uiPriority w:val="99"/>
    <w:qFormat/>
    <w:rsid w:val="00A34E46"/>
    <w:pPr>
      <w:spacing w:after="300" w:line="240" w:lineRule="auto"/>
      <w:contextualSpacing/>
    </w:pPr>
    <w:rPr>
      <w:rFonts w:ascii="Tw Cen MT" w:hAnsi="Tw Cen MT"/>
      <w:smallCaps/>
      <w:sz w:val="52"/>
      <w:szCs w:val="20"/>
      <w:lang w:val="en-US" w:eastAsia="de-DE"/>
    </w:rPr>
  </w:style>
  <w:style w:type="character" w:customStyle="1" w:styleId="TitelZchn">
    <w:name w:val="Titel Zchn"/>
    <w:link w:val="Titel"/>
    <w:uiPriority w:val="99"/>
    <w:locked/>
    <w:rsid w:val="00A34E46"/>
    <w:rPr>
      <w:rFonts w:cs="Times New Roman"/>
      <w:smallCaps/>
      <w:sz w:val="52"/>
    </w:rPr>
  </w:style>
  <w:style w:type="paragraph" w:styleId="Untertitel">
    <w:name w:val="Subtitle"/>
    <w:basedOn w:val="Standard"/>
    <w:next w:val="Standard"/>
    <w:link w:val="UntertitelZchn"/>
    <w:uiPriority w:val="99"/>
    <w:qFormat/>
    <w:rsid w:val="00A34E46"/>
    <w:rPr>
      <w:rFonts w:ascii="Tw Cen MT" w:hAnsi="Tw Cen MT"/>
      <w:i/>
      <w:smallCaps/>
      <w:spacing w:val="10"/>
      <w:sz w:val="28"/>
      <w:szCs w:val="20"/>
      <w:lang w:val="en-US" w:eastAsia="de-DE"/>
    </w:rPr>
  </w:style>
  <w:style w:type="character" w:customStyle="1" w:styleId="UntertitelZchn">
    <w:name w:val="Untertitel Zchn"/>
    <w:link w:val="Untertitel"/>
    <w:uiPriority w:val="99"/>
    <w:locked/>
    <w:rsid w:val="00A34E46"/>
    <w:rPr>
      <w:rFonts w:cs="Times New Roman"/>
      <w:i/>
      <w:smallCaps/>
      <w:spacing w:val="10"/>
      <w:sz w:val="28"/>
    </w:rPr>
  </w:style>
  <w:style w:type="character" w:styleId="Fett">
    <w:name w:val="Strong"/>
    <w:uiPriority w:val="99"/>
    <w:qFormat/>
    <w:rsid w:val="00A34E46"/>
    <w:rPr>
      <w:rFonts w:cs="Times New Roman"/>
      <w:b/>
    </w:rPr>
  </w:style>
  <w:style w:type="character" w:styleId="Hervorhebung">
    <w:name w:val="Emphasis"/>
    <w:uiPriority w:val="99"/>
    <w:qFormat/>
    <w:rsid w:val="00A34E46"/>
    <w:rPr>
      <w:rFonts w:cs="Times New Roman"/>
      <w:b/>
      <w:i/>
      <w:spacing w:val="10"/>
    </w:rPr>
  </w:style>
  <w:style w:type="paragraph" w:styleId="KeinLeerraum">
    <w:name w:val="No Spacing"/>
    <w:basedOn w:val="Standard"/>
    <w:uiPriority w:val="99"/>
    <w:qFormat/>
    <w:rsid w:val="00A34E46"/>
    <w:pPr>
      <w:spacing w:after="0" w:line="240" w:lineRule="auto"/>
    </w:pPr>
  </w:style>
  <w:style w:type="paragraph" w:styleId="Listenabsatz">
    <w:name w:val="List Paragraph"/>
    <w:basedOn w:val="Standard"/>
    <w:uiPriority w:val="99"/>
    <w:qFormat/>
    <w:rsid w:val="00A34E46"/>
    <w:pPr>
      <w:ind w:left="720"/>
      <w:contextualSpacing/>
    </w:pPr>
  </w:style>
  <w:style w:type="paragraph" w:styleId="Zitat">
    <w:name w:val="Quote"/>
    <w:basedOn w:val="Standard"/>
    <w:next w:val="Standard"/>
    <w:link w:val="ZitatZchn"/>
    <w:uiPriority w:val="99"/>
    <w:qFormat/>
    <w:rsid w:val="00A34E46"/>
    <w:rPr>
      <w:rFonts w:ascii="Tw Cen MT" w:hAnsi="Tw Cen MT"/>
      <w:i/>
      <w:sz w:val="20"/>
      <w:szCs w:val="20"/>
      <w:lang w:val="en-US" w:eastAsia="de-DE"/>
    </w:rPr>
  </w:style>
  <w:style w:type="character" w:customStyle="1" w:styleId="ZitatZchn">
    <w:name w:val="Zitat Zchn"/>
    <w:link w:val="Zitat"/>
    <w:uiPriority w:val="99"/>
    <w:locked/>
    <w:rsid w:val="00A34E46"/>
    <w:rPr>
      <w:rFonts w:cs="Times New Roman"/>
      <w:i/>
    </w:rPr>
  </w:style>
  <w:style w:type="paragraph" w:styleId="IntensivesZitat">
    <w:name w:val="Intense Quote"/>
    <w:basedOn w:val="Standard"/>
    <w:next w:val="Standard"/>
    <w:link w:val="IntensivesZitatZchn"/>
    <w:uiPriority w:val="99"/>
    <w:qFormat/>
    <w:rsid w:val="00A34E46"/>
    <w:pPr>
      <w:pBdr>
        <w:top w:val="single" w:sz="4" w:space="10" w:color="auto"/>
        <w:bottom w:val="single" w:sz="4" w:space="10" w:color="auto"/>
      </w:pBdr>
      <w:spacing w:before="240" w:after="240" w:line="300" w:lineRule="auto"/>
      <w:ind w:left="1152" w:right="1152"/>
      <w:jc w:val="both"/>
    </w:pPr>
    <w:rPr>
      <w:rFonts w:ascii="Tw Cen MT" w:hAnsi="Tw Cen MT"/>
      <w:i/>
      <w:sz w:val="20"/>
      <w:szCs w:val="20"/>
      <w:lang w:val="en-US" w:eastAsia="de-DE"/>
    </w:rPr>
  </w:style>
  <w:style w:type="character" w:customStyle="1" w:styleId="IntensivesZitatZchn">
    <w:name w:val="Intensives Zitat Zchn"/>
    <w:link w:val="IntensivesZitat"/>
    <w:uiPriority w:val="99"/>
    <w:locked/>
    <w:rsid w:val="00A34E46"/>
    <w:rPr>
      <w:rFonts w:cs="Times New Roman"/>
      <w:i/>
    </w:rPr>
  </w:style>
  <w:style w:type="character" w:styleId="SchwacheHervorhebung">
    <w:name w:val="Subtle Emphasis"/>
    <w:uiPriority w:val="99"/>
    <w:qFormat/>
    <w:rsid w:val="00A34E46"/>
    <w:rPr>
      <w:rFonts w:cs="Times New Roman"/>
      <w:i/>
    </w:rPr>
  </w:style>
  <w:style w:type="character" w:styleId="IntensiveHervorhebung">
    <w:name w:val="Intense Emphasis"/>
    <w:uiPriority w:val="99"/>
    <w:qFormat/>
    <w:rsid w:val="00A34E46"/>
    <w:rPr>
      <w:rFonts w:cs="Times New Roman"/>
      <w:b/>
      <w:i/>
    </w:rPr>
  </w:style>
  <w:style w:type="character" w:styleId="SchwacherVerweis">
    <w:name w:val="Subtle Reference"/>
    <w:uiPriority w:val="99"/>
    <w:qFormat/>
    <w:rsid w:val="00A34E46"/>
    <w:rPr>
      <w:rFonts w:cs="Times New Roman"/>
      <w:smallCaps/>
    </w:rPr>
  </w:style>
  <w:style w:type="character" w:styleId="IntensiverVerweis">
    <w:name w:val="Intense Reference"/>
    <w:uiPriority w:val="99"/>
    <w:qFormat/>
    <w:rsid w:val="00A34E46"/>
    <w:rPr>
      <w:rFonts w:cs="Times New Roman"/>
      <w:b/>
      <w:smallCaps/>
    </w:rPr>
  </w:style>
  <w:style w:type="character" w:styleId="Buchtitel">
    <w:name w:val="Book Title"/>
    <w:uiPriority w:val="99"/>
    <w:qFormat/>
    <w:rsid w:val="00A34E46"/>
    <w:rPr>
      <w:rFonts w:cs="Times New Roman"/>
      <w:i/>
      <w:smallCaps/>
      <w:spacing w:val="5"/>
    </w:rPr>
  </w:style>
  <w:style w:type="paragraph" w:styleId="Inhaltsverzeichnisberschrift">
    <w:name w:val="TOC Heading"/>
    <w:basedOn w:val="berschrift1"/>
    <w:next w:val="Standard"/>
    <w:uiPriority w:val="99"/>
    <w:qFormat/>
    <w:rsid w:val="00A34E46"/>
    <w:pPr>
      <w:outlineLvl w:val="9"/>
    </w:pPr>
  </w:style>
  <w:style w:type="paragraph" w:customStyle="1" w:styleId="NinaStandard">
    <w:name w:val="Nina Standard"/>
    <w:basedOn w:val="KeinLeerraum"/>
    <w:uiPriority w:val="99"/>
    <w:rsid w:val="00CC3368"/>
    <w:pPr>
      <w:jc w:val="both"/>
    </w:pPr>
    <w:rPr>
      <w:rFonts w:ascii="Arial Narrow" w:eastAsia="Times New Roman" w:hAnsi="Arial Narrow"/>
    </w:rPr>
  </w:style>
  <w:style w:type="paragraph" w:customStyle="1" w:styleId="Ninaberschrift1">
    <w:name w:val="Nina Überschrift 1"/>
    <w:basedOn w:val="berschrift1"/>
    <w:uiPriority w:val="99"/>
    <w:rsid w:val="00CC3368"/>
    <w:rPr>
      <w:rFonts w:ascii="Arial Narrow" w:eastAsia="Times New Roman" w:hAnsi="Arial Narrow"/>
      <w:b/>
      <w:smallCaps w:val="0"/>
    </w:rPr>
  </w:style>
  <w:style w:type="paragraph" w:customStyle="1" w:styleId="Ninaberschrift2">
    <w:name w:val="Nina Überschrift 2"/>
    <w:basedOn w:val="berschrift2"/>
    <w:uiPriority w:val="99"/>
    <w:rsid w:val="00CC3368"/>
    <w:rPr>
      <w:rFonts w:ascii="Arial Narrow" w:eastAsia="Times New Roman" w:hAnsi="Arial Narrow"/>
      <w:b/>
      <w:smallCaps w:val="0"/>
    </w:rPr>
  </w:style>
  <w:style w:type="paragraph" w:customStyle="1" w:styleId="berschriftNina3">
    <w:name w:val="Überschrift Nina 3"/>
    <w:basedOn w:val="berschrift3"/>
    <w:uiPriority w:val="99"/>
    <w:rsid w:val="00853A54"/>
    <w:rPr>
      <w:rFonts w:ascii="Georgia" w:eastAsia="Times New Roman" w:hAnsi="Georgia"/>
      <w:b/>
      <w:smallCaps w:val="0"/>
    </w:rPr>
  </w:style>
  <w:style w:type="paragraph" w:customStyle="1" w:styleId="Ninaberschrift3">
    <w:name w:val="Nina Überschrift 3"/>
    <w:basedOn w:val="berschrift3"/>
    <w:uiPriority w:val="99"/>
    <w:rsid w:val="00CC3368"/>
    <w:rPr>
      <w:rFonts w:ascii="Arial Narrow" w:eastAsia="Times New Roman" w:hAnsi="Arial Narrow"/>
      <w:b/>
      <w:smallCaps w:val="0"/>
    </w:rPr>
  </w:style>
  <w:style w:type="table" w:styleId="Tabellenraster">
    <w:name w:val="Table Grid"/>
    <w:basedOn w:val="NormaleTabelle"/>
    <w:uiPriority w:val="99"/>
    <w:rsid w:val="00304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1C7134"/>
    <w:pPr>
      <w:spacing w:after="0" w:line="240" w:lineRule="auto"/>
    </w:pPr>
    <w:rPr>
      <w:rFonts w:ascii="Tahoma" w:hAnsi="Tahoma"/>
      <w:sz w:val="16"/>
      <w:szCs w:val="16"/>
      <w:lang w:val="en-US" w:eastAsia="de-DE"/>
    </w:rPr>
  </w:style>
  <w:style w:type="character" w:customStyle="1" w:styleId="SprechblasentextZchn">
    <w:name w:val="Sprechblasentext Zchn"/>
    <w:link w:val="Sprechblasentext"/>
    <w:uiPriority w:val="99"/>
    <w:semiHidden/>
    <w:locked/>
    <w:rsid w:val="001C7134"/>
    <w:rPr>
      <w:rFonts w:ascii="Tahoma" w:hAnsi="Tahoma" w:cs="Times New Roman"/>
      <w:sz w:val="16"/>
    </w:rPr>
  </w:style>
  <w:style w:type="paragraph" w:styleId="Kopfzeile">
    <w:name w:val="header"/>
    <w:basedOn w:val="Standard"/>
    <w:link w:val="KopfzeileZchn"/>
    <w:uiPriority w:val="99"/>
    <w:rsid w:val="001C7134"/>
    <w:pPr>
      <w:tabs>
        <w:tab w:val="center" w:pos="4536"/>
        <w:tab w:val="right" w:pos="9072"/>
      </w:tabs>
      <w:spacing w:after="0" w:line="240" w:lineRule="auto"/>
    </w:pPr>
    <w:rPr>
      <w:sz w:val="20"/>
      <w:szCs w:val="20"/>
      <w:lang w:val="en-US" w:eastAsia="de-DE"/>
    </w:rPr>
  </w:style>
  <w:style w:type="character" w:customStyle="1" w:styleId="KopfzeileZchn">
    <w:name w:val="Kopfzeile Zchn"/>
    <w:link w:val="Kopfzeile"/>
    <w:uiPriority w:val="99"/>
    <w:locked/>
    <w:rsid w:val="001C7134"/>
    <w:rPr>
      <w:rFonts w:ascii="Arial" w:hAnsi="Arial" w:cs="Times New Roman"/>
    </w:rPr>
  </w:style>
  <w:style w:type="paragraph" w:styleId="Fuzeile">
    <w:name w:val="footer"/>
    <w:basedOn w:val="Standard"/>
    <w:link w:val="FuzeileZchn"/>
    <w:uiPriority w:val="99"/>
    <w:rsid w:val="001C7134"/>
    <w:pPr>
      <w:tabs>
        <w:tab w:val="center" w:pos="4536"/>
        <w:tab w:val="right" w:pos="9072"/>
      </w:tabs>
      <w:spacing w:after="0" w:line="240" w:lineRule="auto"/>
    </w:pPr>
    <w:rPr>
      <w:sz w:val="20"/>
      <w:szCs w:val="20"/>
      <w:lang w:val="en-US" w:eastAsia="de-DE"/>
    </w:rPr>
  </w:style>
  <w:style w:type="character" w:customStyle="1" w:styleId="FuzeileZchn">
    <w:name w:val="Fußzeile Zchn"/>
    <w:link w:val="Fuzeile"/>
    <w:uiPriority w:val="99"/>
    <w:locked/>
    <w:rsid w:val="001C7134"/>
    <w:rPr>
      <w:rFonts w:ascii="Arial" w:hAnsi="Arial" w:cs="Times New Roman"/>
    </w:rPr>
  </w:style>
  <w:style w:type="table" w:customStyle="1" w:styleId="Tabellenraster1">
    <w:name w:val="Tabellenraster1"/>
    <w:uiPriority w:val="99"/>
    <w:rsid w:val="00DB101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locked/>
    <w:rsid w:val="002076F9"/>
    <w:rPr>
      <w:sz w:val="20"/>
      <w:szCs w:val="20"/>
      <w:lang w:val="en-US"/>
    </w:rPr>
  </w:style>
  <w:style w:type="character" w:customStyle="1" w:styleId="FunotentextZchn">
    <w:name w:val="Fußnotentext Zchn"/>
    <w:link w:val="Funotentext"/>
    <w:uiPriority w:val="99"/>
    <w:semiHidden/>
    <w:locked/>
    <w:rsid w:val="002076F9"/>
    <w:rPr>
      <w:rFonts w:ascii="Arial" w:hAnsi="Arial" w:cs="Times New Roman"/>
      <w:lang w:eastAsia="en-US"/>
    </w:rPr>
  </w:style>
  <w:style w:type="character" w:styleId="Funotenzeichen">
    <w:name w:val="footnote reference"/>
    <w:uiPriority w:val="99"/>
    <w:semiHidden/>
    <w:locked/>
    <w:rsid w:val="002076F9"/>
    <w:rPr>
      <w:rFonts w:cs="Times New Roman"/>
      <w:vertAlign w:val="superscript"/>
    </w:rPr>
  </w:style>
  <w:style w:type="table" w:customStyle="1" w:styleId="Tabellenraster2">
    <w:name w:val="Tabellenraster2"/>
    <w:uiPriority w:val="99"/>
    <w:rsid w:val="002076F9"/>
    <w:rPr>
      <w:rFonts w:ascii="Cambria" w:hAnsi="Cambria"/>
      <w:sz w:val="24"/>
      <w:szCs w:val="24"/>
      <w:lang w:val="de-DE"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1083</Words>
  <Characters>6824</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Analysieren</dc:title>
  <dc:subject/>
  <dc:creator>Nina Iten</dc:creator>
  <cp:keywords/>
  <dc:description/>
  <cp:lastModifiedBy>Nina Iten</cp:lastModifiedBy>
  <cp:revision>29</cp:revision>
  <dcterms:created xsi:type="dcterms:W3CDTF">2012-07-05T17:20:00Z</dcterms:created>
  <dcterms:modified xsi:type="dcterms:W3CDTF">2012-10-30T13:26:00Z</dcterms:modified>
</cp:coreProperties>
</file>